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46" w:rsidRDefault="001B1246" w:rsidP="001B1246">
      <w:pPr>
        <w:jc w:val="center"/>
        <w:rPr>
          <w:b/>
          <w:sz w:val="24"/>
          <w:szCs w:val="24"/>
        </w:rPr>
      </w:pPr>
      <w:r>
        <w:rPr>
          <w:rFonts w:ascii="Tahoma" w:hAnsi="Tahoma" w:cs="Tahoma"/>
          <w:b/>
          <w:bCs/>
          <w:noProof/>
          <w:sz w:val="20"/>
          <w:szCs w:val="20"/>
        </w:rPr>
        <w:drawing>
          <wp:inline distT="0" distB="0" distL="0" distR="0" wp14:anchorId="119BC7A6" wp14:editId="2046DFFB">
            <wp:extent cx="3922032" cy="1609344"/>
            <wp:effectExtent l="0" t="0" r="2540" b="0"/>
            <wp:docPr id="1" name="Picture 1" descr="Graphic -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 Compa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3337" cy="1613983"/>
                    </a:xfrm>
                    <a:prstGeom prst="rect">
                      <a:avLst/>
                    </a:prstGeom>
                    <a:noFill/>
                    <a:ln>
                      <a:noFill/>
                    </a:ln>
                  </pic:spPr>
                </pic:pic>
              </a:graphicData>
            </a:graphic>
          </wp:inline>
        </w:drawing>
      </w:r>
    </w:p>
    <w:p w:rsidR="001B1246" w:rsidRPr="00BC6276" w:rsidRDefault="00D642E0" w:rsidP="001B1246">
      <w:pPr>
        <w:jc w:val="center"/>
        <w:rPr>
          <w:b/>
          <w:sz w:val="24"/>
          <w:szCs w:val="24"/>
        </w:rPr>
      </w:pPr>
      <w:r w:rsidRPr="00BC6276">
        <w:rPr>
          <w:b/>
          <w:sz w:val="24"/>
          <w:szCs w:val="24"/>
        </w:rPr>
        <w:t>DEPARTMENT OF TEACHER EDUCATION AND ADMINISTRATION</w:t>
      </w:r>
      <w:r w:rsidR="001B1246">
        <w:rPr>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4788"/>
      </w:tblGrid>
      <w:tr w:rsidR="001B1246" w:rsidTr="002050D9">
        <w:tc>
          <w:tcPr>
            <w:tcW w:w="5508" w:type="dxa"/>
          </w:tcPr>
          <w:p w:rsidR="001B1246" w:rsidRDefault="001B1246" w:rsidP="002050D9">
            <w:pPr>
              <w:rPr>
                <w:rFonts w:eastAsia="Times New Roman"/>
                <w:sz w:val="24"/>
                <w:szCs w:val="20"/>
              </w:rPr>
            </w:pPr>
            <w:r>
              <w:rPr>
                <w:rFonts w:eastAsia="Times New Roman"/>
                <w:sz w:val="24"/>
                <w:szCs w:val="20"/>
              </w:rPr>
              <w:t xml:space="preserve">Dr. Carol </w:t>
            </w:r>
            <w:proofErr w:type="spellStart"/>
            <w:r>
              <w:rPr>
                <w:rFonts w:eastAsia="Times New Roman"/>
                <w:sz w:val="24"/>
                <w:szCs w:val="20"/>
              </w:rPr>
              <w:t>Wick</w:t>
            </w:r>
            <w:r w:rsidR="00A13091">
              <w:rPr>
                <w:rFonts w:eastAsia="Times New Roman"/>
                <w:sz w:val="24"/>
                <w:szCs w:val="20"/>
              </w:rPr>
              <w:t>s</w:t>
            </w:r>
            <w:r>
              <w:rPr>
                <w:rFonts w:eastAsia="Times New Roman"/>
                <w:sz w:val="24"/>
                <w:szCs w:val="20"/>
              </w:rPr>
              <w:t>trom</w:t>
            </w:r>
            <w:proofErr w:type="spellEnd"/>
            <w:r>
              <w:rPr>
                <w:rFonts w:eastAsia="Times New Roman"/>
                <w:sz w:val="24"/>
                <w:szCs w:val="20"/>
              </w:rPr>
              <w:tab/>
            </w:r>
            <w:r>
              <w:rPr>
                <w:rFonts w:eastAsia="Times New Roman"/>
                <w:sz w:val="24"/>
                <w:szCs w:val="20"/>
              </w:rPr>
              <w:tab/>
            </w:r>
            <w:r>
              <w:rPr>
                <w:rFonts w:eastAsia="Times New Roman"/>
                <w:sz w:val="24"/>
                <w:szCs w:val="20"/>
              </w:rPr>
              <w:tab/>
            </w:r>
            <w:r>
              <w:rPr>
                <w:rFonts w:eastAsia="Times New Roman"/>
                <w:sz w:val="24"/>
                <w:szCs w:val="20"/>
              </w:rPr>
              <w:tab/>
            </w:r>
          </w:p>
          <w:p w:rsidR="001B1246" w:rsidRDefault="001B1246" w:rsidP="002050D9">
            <w:pPr>
              <w:rPr>
                <w:rFonts w:eastAsia="Times New Roman"/>
                <w:sz w:val="24"/>
                <w:szCs w:val="20"/>
              </w:rPr>
            </w:pPr>
            <w:r>
              <w:rPr>
                <w:rFonts w:eastAsia="Times New Roman"/>
                <w:sz w:val="24"/>
                <w:szCs w:val="20"/>
              </w:rPr>
              <w:t>204 A Matthews Hall</w:t>
            </w:r>
            <w:r>
              <w:rPr>
                <w:rFonts w:eastAsia="Times New Roman"/>
                <w:sz w:val="24"/>
                <w:szCs w:val="20"/>
              </w:rPr>
              <w:tab/>
            </w:r>
            <w:r>
              <w:rPr>
                <w:rFonts w:eastAsia="Times New Roman"/>
                <w:sz w:val="24"/>
                <w:szCs w:val="20"/>
              </w:rPr>
              <w:tab/>
            </w:r>
            <w:r>
              <w:rPr>
                <w:rFonts w:eastAsia="Times New Roman"/>
                <w:sz w:val="24"/>
                <w:szCs w:val="20"/>
              </w:rPr>
              <w:tab/>
            </w:r>
          </w:p>
          <w:p w:rsidR="001B1246" w:rsidRDefault="001B1246" w:rsidP="002050D9">
            <w:pPr>
              <w:rPr>
                <w:rFonts w:eastAsia="Times New Roman"/>
                <w:sz w:val="24"/>
                <w:szCs w:val="20"/>
              </w:rPr>
            </w:pPr>
            <w:r>
              <w:rPr>
                <w:rFonts w:eastAsia="Times New Roman"/>
                <w:sz w:val="24"/>
                <w:szCs w:val="20"/>
              </w:rPr>
              <w:t xml:space="preserve">Carol.wickstrom@unt.edu </w:t>
            </w:r>
            <w:r>
              <w:rPr>
                <w:rFonts w:eastAsia="Times New Roman"/>
                <w:sz w:val="24"/>
                <w:szCs w:val="20"/>
              </w:rPr>
              <w:tab/>
            </w:r>
            <w:r>
              <w:rPr>
                <w:rFonts w:eastAsia="Times New Roman"/>
                <w:sz w:val="24"/>
                <w:szCs w:val="20"/>
              </w:rPr>
              <w:tab/>
            </w:r>
            <w:r>
              <w:rPr>
                <w:rFonts w:eastAsia="Times New Roman"/>
                <w:sz w:val="24"/>
                <w:szCs w:val="20"/>
              </w:rPr>
              <w:tab/>
            </w:r>
          </w:p>
          <w:p w:rsidR="00810602" w:rsidRDefault="00810602" w:rsidP="002050D9">
            <w:pPr>
              <w:rPr>
                <w:rFonts w:eastAsia="Times New Roman"/>
                <w:sz w:val="24"/>
                <w:szCs w:val="20"/>
              </w:rPr>
            </w:pPr>
            <w:r>
              <w:rPr>
                <w:rFonts w:eastAsia="Times New Roman"/>
                <w:sz w:val="24"/>
                <w:szCs w:val="20"/>
              </w:rPr>
              <w:t xml:space="preserve">Office Hours:   Thursday, 12 – 5 </w:t>
            </w:r>
          </w:p>
          <w:p w:rsidR="001B1246" w:rsidRDefault="00810602" w:rsidP="002050D9">
            <w:pPr>
              <w:rPr>
                <w:rFonts w:eastAsia="Times New Roman"/>
                <w:sz w:val="24"/>
                <w:szCs w:val="20"/>
              </w:rPr>
            </w:pPr>
            <w:r>
              <w:rPr>
                <w:rFonts w:eastAsia="Times New Roman"/>
                <w:sz w:val="24"/>
                <w:szCs w:val="20"/>
              </w:rPr>
              <w:t xml:space="preserve">          </w:t>
            </w:r>
            <w:r w:rsidR="001B1246">
              <w:rPr>
                <w:rFonts w:eastAsia="Times New Roman"/>
                <w:sz w:val="24"/>
                <w:szCs w:val="20"/>
              </w:rPr>
              <w:t>Other times by appointment</w:t>
            </w:r>
          </w:p>
          <w:p w:rsidR="001B1246" w:rsidRDefault="001B1246" w:rsidP="002050D9">
            <w:pPr>
              <w:rPr>
                <w:rFonts w:eastAsia="Times New Roman"/>
                <w:sz w:val="24"/>
                <w:szCs w:val="20"/>
              </w:rPr>
            </w:pPr>
          </w:p>
        </w:tc>
        <w:tc>
          <w:tcPr>
            <w:tcW w:w="5508" w:type="dxa"/>
          </w:tcPr>
          <w:p w:rsidR="001B1246" w:rsidRDefault="00810602" w:rsidP="002050D9">
            <w:pPr>
              <w:rPr>
                <w:rFonts w:eastAsia="Times New Roman"/>
                <w:sz w:val="24"/>
                <w:szCs w:val="20"/>
              </w:rPr>
            </w:pPr>
            <w:r>
              <w:rPr>
                <w:rFonts w:eastAsia="Times New Roman"/>
                <w:sz w:val="24"/>
                <w:szCs w:val="20"/>
              </w:rPr>
              <w:t>Spring, 2015</w:t>
            </w:r>
          </w:p>
          <w:p w:rsidR="001B1246" w:rsidRDefault="001B1246" w:rsidP="002050D9">
            <w:pPr>
              <w:rPr>
                <w:rFonts w:eastAsia="Times New Roman"/>
                <w:sz w:val="24"/>
                <w:szCs w:val="20"/>
              </w:rPr>
            </w:pPr>
            <w:r>
              <w:rPr>
                <w:rFonts w:eastAsia="Times New Roman"/>
                <w:sz w:val="24"/>
                <w:szCs w:val="20"/>
              </w:rPr>
              <w:t>Thursday, 5:30 – 8:30, Matthews 109</w:t>
            </w:r>
          </w:p>
          <w:p w:rsidR="001B1246" w:rsidRDefault="00810602" w:rsidP="002050D9">
            <w:pPr>
              <w:rPr>
                <w:rFonts w:eastAsia="Times New Roman"/>
                <w:sz w:val="24"/>
                <w:szCs w:val="20"/>
              </w:rPr>
            </w:pPr>
            <w:hyperlink r:id="rId6" w:history="1">
              <w:r w:rsidRPr="00D177E4">
                <w:rPr>
                  <w:rStyle w:val="Hyperlink"/>
                  <w:rFonts w:ascii="Calibri" w:eastAsia="Times New Roman" w:hAnsi="Calibri"/>
                  <w:sz w:val="24"/>
                  <w:szCs w:val="20"/>
                </w:rPr>
                <w:t>Carol.wickstrom@unt.edu</w:t>
              </w:r>
            </w:hyperlink>
          </w:p>
          <w:p w:rsidR="00810602" w:rsidRDefault="00810602" w:rsidP="002050D9">
            <w:pPr>
              <w:rPr>
                <w:rFonts w:eastAsia="Times New Roman"/>
                <w:sz w:val="24"/>
                <w:szCs w:val="20"/>
              </w:rPr>
            </w:pPr>
            <w:r>
              <w:rPr>
                <w:rFonts w:eastAsia="Times New Roman"/>
                <w:sz w:val="24"/>
                <w:szCs w:val="20"/>
              </w:rPr>
              <w:t>Emails will be answered regularly.</w:t>
            </w:r>
          </w:p>
        </w:tc>
      </w:tr>
    </w:tbl>
    <w:p w:rsidR="00806C5A" w:rsidRDefault="00806C5A" w:rsidP="00D642E0">
      <w:pPr>
        <w:rPr>
          <w:b/>
          <w:sz w:val="24"/>
          <w:szCs w:val="24"/>
        </w:rPr>
      </w:pPr>
    </w:p>
    <w:p w:rsidR="00D642E0" w:rsidRPr="00BC6276" w:rsidRDefault="00D642E0" w:rsidP="00D642E0">
      <w:pPr>
        <w:rPr>
          <w:b/>
          <w:sz w:val="24"/>
          <w:szCs w:val="24"/>
        </w:rPr>
      </w:pPr>
      <w:r w:rsidRPr="00BC6276">
        <w:rPr>
          <w:b/>
          <w:sz w:val="24"/>
          <w:szCs w:val="24"/>
        </w:rPr>
        <w:t>COURSE SYLLABUS</w:t>
      </w:r>
    </w:p>
    <w:p w:rsidR="00D642E0" w:rsidRPr="00BC6276" w:rsidRDefault="00D642E0" w:rsidP="00D642E0">
      <w:pPr>
        <w:rPr>
          <w:b/>
          <w:sz w:val="24"/>
          <w:szCs w:val="24"/>
        </w:rPr>
      </w:pPr>
      <w:r>
        <w:rPr>
          <w:b/>
          <w:sz w:val="24"/>
          <w:szCs w:val="24"/>
        </w:rPr>
        <w:t xml:space="preserve">EDRE </w:t>
      </w:r>
      <w:r w:rsidR="00A667FC">
        <w:rPr>
          <w:b/>
          <w:sz w:val="24"/>
          <w:szCs w:val="24"/>
        </w:rPr>
        <w:t>4890</w:t>
      </w:r>
      <w:r w:rsidR="001B1246">
        <w:rPr>
          <w:b/>
          <w:sz w:val="24"/>
          <w:szCs w:val="24"/>
        </w:rPr>
        <w:t>: 3 Hours</w:t>
      </w:r>
      <w:r w:rsidRPr="00BC6276">
        <w:rPr>
          <w:b/>
          <w:sz w:val="24"/>
          <w:szCs w:val="24"/>
        </w:rPr>
        <w:t>.   INQUIRY INTO CLASSROOM PRACTICE – Student Teaching Seminar</w:t>
      </w:r>
    </w:p>
    <w:p w:rsidR="00D642E0" w:rsidRPr="00BC6276" w:rsidRDefault="00D642E0" w:rsidP="00D642E0">
      <w:pPr>
        <w:rPr>
          <w:b/>
          <w:sz w:val="24"/>
          <w:szCs w:val="24"/>
        </w:rPr>
      </w:pPr>
      <w:r w:rsidRPr="00BC6276">
        <w:rPr>
          <w:b/>
          <w:sz w:val="24"/>
          <w:szCs w:val="24"/>
        </w:rPr>
        <w:t>Prerequisite:</w:t>
      </w:r>
      <w:r w:rsidRPr="00BC6276">
        <w:rPr>
          <w:sz w:val="24"/>
          <w:szCs w:val="24"/>
        </w:rPr>
        <w:t xml:space="preserve"> Successful completion of PDS I and current placement in a field site for student</w:t>
      </w:r>
      <w:r w:rsidRPr="00BC6276">
        <w:rPr>
          <w:b/>
          <w:sz w:val="24"/>
          <w:szCs w:val="24"/>
        </w:rPr>
        <w:t xml:space="preserve"> </w:t>
      </w:r>
      <w:r w:rsidRPr="00BC6276">
        <w:rPr>
          <w:sz w:val="24"/>
          <w:szCs w:val="24"/>
        </w:rPr>
        <w:t>teaching.</w:t>
      </w:r>
      <w:r w:rsidRPr="00BC6276">
        <w:rPr>
          <w:b/>
          <w:sz w:val="24"/>
          <w:szCs w:val="24"/>
        </w:rPr>
        <w:t xml:space="preserve"> </w:t>
      </w:r>
    </w:p>
    <w:p w:rsidR="00D642E0" w:rsidRDefault="00D642E0" w:rsidP="00D642E0">
      <w:pPr>
        <w:rPr>
          <w:sz w:val="24"/>
          <w:szCs w:val="24"/>
        </w:rPr>
      </w:pPr>
      <w:r w:rsidRPr="00BC6276">
        <w:rPr>
          <w:b/>
          <w:sz w:val="24"/>
          <w:szCs w:val="24"/>
        </w:rPr>
        <w:t xml:space="preserve">Course Description: </w:t>
      </w:r>
      <w:r w:rsidRPr="00BC6276">
        <w:rPr>
          <w:sz w:val="24"/>
          <w:szCs w:val="24"/>
        </w:rPr>
        <w:t xml:space="preserve">Inquiry into Classroom Practice is a </w:t>
      </w:r>
      <w:r w:rsidRPr="00BC6276">
        <w:rPr>
          <w:b/>
          <w:sz w:val="24"/>
          <w:szCs w:val="24"/>
        </w:rPr>
        <w:t xml:space="preserve">required </w:t>
      </w:r>
      <w:r w:rsidRPr="00BC6276">
        <w:rPr>
          <w:sz w:val="24"/>
          <w:szCs w:val="24"/>
        </w:rPr>
        <w:t xml:space="preserve">component of the PDS II experience and is taken concurrently with student teaching.  The purpose of this course is to provide Interns with the opportunity to synthesize their student teaching experience through inquiry into their own teaching. Through the seminar interns will strengthen the ability to be a reflective practitioner of: content and curriculum knowledge, pedagogy and assessment knowledge, equity for all learners, encouragement of diversity, professional communication, and engaged professional learning as outlined in the conceptual framework. </w:t>
      </w:r>
    </w:p>
    <w:p w:rsidR="00806C5A" w:rsidRPr="00806C5A" w:rsidRDefault="00806C5A" w:rsidP="00D642E0">
      <w:pPr>
        <w:rPr>
          <w:rFonts w:asciiTheme="minorHAnsi" w:hAnsiTheme="minorHAnsi"/>
          <w:sz w:val="24"/>
          <w:szCs w:val="24"/>
        </w:rPr>
      </w:pPr>
      <w:r w:rsidRPr="00806C5A">
        <w:rPr>
          <w:rFonts w:asciiTheme="minorHAnsi" w:hAnsiTheme="minorHAnsi"/>
          <w:b/>
          <w:sz w:val="24"/>
          <w:szCs w:val="24"/>
        </w:rPr>
        <w:t>Required Text:</w:t>
      </w:r>
      <w:r w:rsidRPr="00806C5A">
        <w:rPr>
          <w:rFonts w:asciiTheme="minorHAnsi" w:hAnsiTheme="minorHAnsi"/>
          <w:sz w:val="24"/>
          <w:szCs w:val="24"/>
        </w:rPr>
        <w:t xml:space="preserve"> Johnston, P. H. (2004). </w:t>
      </w:r>
      <w:r w:rsidRPr="00806C5A">
        <w:rPr>
          <w:rFonts w:asciiTheme="minorHAnsi" w:hAnsiTheme="minorHAnsi"/>
          <w:i/>
          <w:sz w:val="24"/>
          <w:szCs w:val="24"/>
        </w:rPr>
        <w:t>Choice Words</w:t>
      </w:r>
      <w:r w:rsidRPr="00806C5A">
        <w:rPr>
          <w:rFonts w:asciiTheme="minorHAnsi" w:hAnsiTheme="minorHAnsi"/>
          <w:sz w:val="24"/>
          <w:szCs w:val="24"/>
        </w:rPr>
        <w:t>. Port</w:t>
      </w:r>
      <w:r>
        <w:rPr>
          <w:rFonts w:asciiTheme="minorHAnsi" w:hAnsiTheme="minorHAnsi"/>
          <w:sz w:val="24"/>
          <w:szCs w:val="24"/>
        </w:rPr>
        <w:t xml:space="preserve">land, ME: </w:t>
      </w:r>
      <w:proofErr w:type="spellStart"/>
      <w:r>
        <w:rPr>
          <w:rFonts w:asciiTheme="minorHAnsi" w:hAnsiTheme="minorHAnsi"/>
          <w:sz w:val="24"/>
          <w:szCs w:val="24"/>
        </w:rPr>
        <w:t>Stenhouse</w:t>
      </w:r>
      <w:proofErr w:type="spellEnd"/>
      <w:r>
        <w:rPr>
          <w:rFonts w:asciiTheme="minorHAnsi" w:hAnsiTheme="minorHAnsi"/>
          <w:sz w:val="24"/>
          <w:szCs w:val="24"/>
        </w:rPr>
        <w:t xml:space="preserve"> Publishers.</w:t>
      </w:r>
    </w:p>
    <w:p w:rsidR="00D642E0" w:rsidRPr="00BC6276" w:rsidRDefault="00D642E0" w:rsidP="00D642E0">
      <w:pPr>
        <w:rPr>
          <w:b/>
          <w:sz w:val="24"/>
          <w:szCs w:val="24"/>
        </w:rPr>
      </w:pPr>
      <w:r w:rsidRPr="00BC6276">
        <w:rPr>
          <w:b/>
          <w:sz w:val="24"/>
          <w:szCs w:val="24"/>
        </w:rPr>
        <w:t>Goals:</w:t>
      </w:r>
    </w:p>
    <w:p w:rsidR="00D642E0" w:rsidRPr="00BC6276" w:rsidRDefault="00D642E0" w:rsidP="00D642E0">
      <w:pPr>
        <w:numPr>
          <w:ilvl w:val="0"/>
          <w:numId w:val="1"/>
        </w:numPr>
        <w:contextualSpacing/>
        <w:rPr>
          <w:sz w:val="24"/>
          <w:szCs w:val="24"/>
        </w:rPr>
      </w:pPr>
      <w:r w:rsidRPr="00BC6276">
        <w:rPr>
          <w:sz w:val="24"/>
          <w:szCs w:val="24"/>
        </w:rPr>
        <w:t xml:space="preserve">Provide transitional experiences for Interns as they move into the teaching profession. </w:t>
      </w:r>
    </w:p>
    <w:p w:rsidR="00D642E0" w:rsidRPr="00BC6276" w:rsidRDefault="00D642E0" w:rsidP="00D642E0">
      <w:pPr>
        <w:numPr>
          <w:ilvl w:val="0"/>
          <w:numId w:val="1"/>
        </w:numPr>
        <w:contextualSpacing/>
        <w:rPr>
          <w:sz w:val="24"/>
          <w:szCs w:val="24"/>
        </w:rPr>
      </w:pPr>
      <w:r w:rsidRPr="00BC6276">
        <w:rPr>
          <w:sz w:val="24"/>
          <w:szCs w:val="24"/>
        </w:rPr>
        <w:t xml:space="preserve">Support Interns as they </w:t>
      </w:r>
      <w:proofErr w:type="gramStart"/>
      <w:r w:rsidRPr="00BC6276">
        <w:rPr>
          <w:sz w:val="24"/>
          <w:szCs w:val="24"/>
        </w:rPr>
        <w:t>Inquire</w:t>
      </w:r>
      <w:proofErr w:type="gramEnd"/>
      <w:r w:rsidRPr="00BC6276">
        <w:rPr>
          <w:sz w:val="24"/>
          <w:szCs w:val="24"/>
        </w:rPr>
        <w:t xml:space="preserve"> into their own teaching in order to refine their reflective practices. </w:t>
      </w:r>
    </w:p>
    <w:p w:rsidR="00D642E0" w:rsidRPr="00BC6276" w:rsidRDefault="00D642E0" w:rsidP="00D642E0">
      <w:pPr>
        <w:numPr>
          <w:ilvl w:val="0"/>
          <w:numId w:val="1"/>
        </w:numPr>
        <w:contextualSpacing/>
        <w:rPr>
          <w:sz w:val="24"/>
          <w:szCs w:val="24"/>
        </w:rPr>
      </w:pPr>
      <w:r w:rsidRPr="00BC6276">
        <w:rPr>
          <w:sz w:val="24"/>
          <w:szCs w:val="24"/>
        </w:rPr>
        <w:t xml:space="preserve">Promote on-going collegial interactions that model professional learning communities. </w:t>
      </w:r>
    </w:p>
    <w:p w:rsidR="00806C5A" w:rsidRDefault="00806C5A" w:rsidP="00D642E0">
      <w:pPr>
        <w:spacing w:after="0"/>
        <w:rPr>
          <w:b/>
          <w:sz w:val="24"/>
          <w:szCs w:val="24"/>
        </w:rPr>
      </w:pPr>
    </w:p>
    <w:p w:rsidR="00D642E0" w:rsidRPr="00BC6276" w:rsidRDefault="00D642E0" w:rsidP="00D642E0">
      <w:pPr>
        <w:spacing w:after="0"/>
        <w:rPr>
          <w:b/>
          <w:sz w:val="24"/>
          <w:szCs w:val="24"/>
        </w:rPr>
      </w:pPr>
      <w:r w:rsidRPr="00BC6276">
        <w:rPr>
          <w:b/>
          <w:sz w:val="24"/>
          <w:szCs w:val="24"/>
        </w:rPr>
        <w:lastRenderedPageBreak/>
        <w:t>Outcomes:</w:t>
      </w:r>
    </w:p>
    <w:p w:rsidR="00D642E0" w:rsidRPr="00BC6276" w:rsidRDefault="00D642E0" w:rsidP="00D642E0">
      <w:pPr>
        <w:rPr>
          <w:b/>
          <w:sz w:val="24"/>
          <w:szCs w:val="24"/>
        </w:rPr>
      </w:pPr>
      <w:r w:rsidRPr="00BC6276">
        <w:rPr>
          <w:sz w:val="24"/>
          <w:szCs w:val="24"/>
        </w:rPr>
        <w:t>As 21</w:t>
      </w:r>
      <w:r w:rsidRPr="00BC6276">
        <w:rPr>
          <w:sz w:val="24"/>
          <w:szCs w:val="24"/>
          <w:vertAlign w:val="superscript"/>
        </w:rPr>
        <w:t>st</w:t>
      </w:r>
      <w:r w:rsidRPr="00BC6276">
        <w:rPr>
          <w:sz w:val="24"/>
          <w:szCs w:val="24"/>
        </w:rPr>
        <w:t xml:space="preserve"> Century Teachers the Interns will be able to:</w:t>
      </w:r>
    </w:p>
    <w:p w:rsidR="00D642E0" w:rsidRPr="00BC6276" w:rsidRDefault="00D642E0" w:rsidP="00D642E0">
      <w:pPr>
        <w:numPr>
          <w:ilvl w:val="0"/>
          <w:numId w:val="2"/>
        </w:numPr>
        <w:contextualSpacing/>
        <w:rPr>
          <w:sz w:val="24"/>
          <w:szCs w:val="24"/>
        </w:rPr>
      </w:pPr>
      <w:r w:rsidRPr="00BC6276">
        <w:rPr>
          <w:sz w:val="24"/>
          <w:szCs w:val="24"/>
        </w:rPr>
        <w:t xml:space="preserve">Develop curriculum that demonstrates </w:t>
      </w:r>
      <w:r w:rsidR="00A13091">
        <w:rPr>
          <w:sz w:val="24"/>
          <w:szCs w:val="24"/>
        </w:rPr>
        <w:t xml:space="preserve">strong content knowledge and </w:t>
      </w:r>
      <w:r w:rsidRPr="00BC6276">
        <w:rPr>
          <w:sz w:val="24"/>
          <w:szCs w:val="24"/>
        </w:rPr>
        <w:t>skill</w:t>
      </w:r>
      <w:r w:rsidR="00A13091">
        <w:rPr>
          <w:sz w:val="24"/>
          <w:szCs w:val="24"/>
        </w:rPr>
        <w:t xml:space="preserve"> </w:t>
      </w:r>
      <w:r w:rsidRPr="00BC6276">
        <w:rPr>
          <w:sz w:val="24"/>
          <w:szCs w:val="24"/>
        </w:rPr>
        <w:t xml:space="preserve">as </w:t>
      </w:r>
      <w:r w:rsidR="00A13091">
        <w:rPr>
          <w:sz w:val="24"/>
          <w:szCs w:val="24"/>
        </w:rPr>
        <w:t xml:space="preserve">a </w:t>
      </w:r>
      <w:r w:rsidRPr="00BC6276">
        <w:rPr>
          <w:sz w:val="24"/>
          <w:szCs w:val="24"/>
        </w:rPr>
        <w:t>decision maker who know</w:t>
      </w:r>
      <w:r w:rsidR="00A13091">
        <w:rPr>
          <w:sz w:val="24"/>
          <w:szCs w:val="24"/>
        </w:rPr>
        <w:t>s</w:t>
      </w:r>
      <w:r w:rsidRPr="00BC6276">
        <w:rPr>
          <w:sz w:val="24"/>
          <w:szCs w:val="24"/>
        </w:rPr>
        <w:t xml:space="preserve"> how to adjust the environment, </w:t>
      </w:r>
      <w:r w:rsidR="00A13091">
        <w:rPr>
          <w:sz w:val="24"/>
          <w:szCs w:val="24"/>
        </w:rPr>
        <w:t xml:space="preserve">content, </w:t>
      </w:r>
      <w:r w:rsidRPr="00BC6276">
        <w:rPr>
          <w:sz w:val="24"/>
          <w:szCs w:val="24"/>
        </w:rPr>
        <w:t>materials, and activities in order to address the needs of all students.</w:t>
      </w:r>
    </w:p>
    <w:p w:rsidR="00D642E0" w:rsidRPr="00BC6276" w:rsidRDefault="000C7BFD" w:rsidP="00D642E0">
      <w:pPr>
        <w:numPr>
          <w:ilvl w:val="0"/>
          <w:numId w:val="2"/>
        </w:numPr>
        <w:contextualSpacing/>
        <w:rPr>
          <w:sz w:val="24"/>
          <w:szCs w:val="24"/>
        </w:rPr>
      </w:pPr>
      <w:r>
        <w:rPr>
          <w:sz w:val="24"/>
          <w:szCs w:val="24"/>
        </w:rPr>
        <w:t>E</w:t>
      </w:r>
      <w:r w:rsidR="00D642E0" w:rsidRPr="00BC6276">
        <w:rPr>
          <w:sz w:val="24"/>
          <w:szCs w:val="24"/>
        </w:rPr>
        <w:t xml:space="preserve">xhibit appropriate communication </w:t>
      </w:r>
      <w:r>
        <w:rPr>
          <w:sz w:val="24"/>
          <w:szCs w:val="24"/>
        </w:rPr>
        <w:t xml:space="preserve">in a variety of settings </w:t>
      </w:r>
      <w:r w:rsidR="00D642E0" w:rsidRPr="00BC6276">
        <w:rPr>
          <w:sz w:val="24"/>
          <w:szCs w:val="24"/>
        </w:rPr>
        <w:t xml:space="preserve">to a wide array of audiences --- students, peers, mentors, administrators, parents, and other community members. </w:t>
      </w:r>
    </w:p>
    <w:p w:rsidR="00D642E0" w:rsidRPr="00BC6276" w:rsidRDefault="00D642E0" w:rsidP="00D642E0">
      <w:pPr>
        <w:numPr>
          <w:ilvl w:val="0"/>
          <w:numId w:val="2"/>
        </w:numPr>
        <w:contextualSpacing/>
        <w:rPr>
          <w:sz w:val="24"/>
          <w:szCs w:val="24"/>
        </w:rPr>
      </w:pPr>
      <w:r w:rsidRPr="00BC6276">
        <w:rPr>
          <w:sz w:val="24"/>
          <w:szCs w:val="24"/>
        </w:rPr>
        <w:t xml:space="preserve">Demonstrate and model the ability to problem solve. </w:t>
      </w:r>
    </w:p>
    <w:p w:rsidR="00D642E0" w:rsidRPr="008C2240" w:rsidRDefault="000C7BFD" w:rsidP="00D642E0">
      <w:pPr>
        <w:numPr>
          <w:ilvl w:val="0"/>
          <w:numId w:val="2"/>
        </w:numPr>
        <w:contextualSpacing/>
        <w:rPr>
          <w:sz w:val="24"/>
          <w:szCs w:val="24"/>
        </w:rPr>
      </w:pPr>
      <w:r>
        <w:rPr>
          <w:sz w:val="24"/>
          <w:szCs w:val="24"/>
        </w:rPr>
        <w:t>Establish</w:t>
      </w:r>
      <w:r w:rsidR="00D642E0" w:rsidRPr="00BC6276">
        <w:rPr>
          <w:sz w:val="24"/>
          <w:szCs w:val="24"/>
        </w:rPr>
        <w:t xml:space="preserve"> </w:t>
      </w:r>
      <w:r w:rsidR="00552777">
        <w:rPr>
          <w:sz w:val="24"/>
          <w:szCs w:val="24"/>
        </w:rPr>
        <w:t>reflective practices that support lifelong learning</w:t>
      </w:r>
      <w:r w:rsidR="00D642E0" w:rsidRPr="00BC6276">
        <w:rPr>
          <w:sz w:val="24"/>
          <w:szCs w:val="24"/>
        </w:rPr>
        <w:t>.</w:t>
      </w:r>
    </w:p>
    <w:p w:rsidR="00D642E0" w:rsidRPr="00BC6276" w:rsidRDefault="00D642E0" w:rsidP="00D642E0">
      <w:pPr>
        <w:rPr>
          <w:b/>
          <w:sz w:val="24"/>
          <w:szCs w:val="24"/>
        </w:rPr>
      </w:pPr>
      <w:r w:rsidRPr="00BC6276">
        <w:rPr>
          <w:b/>
          <w:sz w:val="24"/>
          <w:szCs w:val="24"/>
        </w:rPr>
        <w:t>Assignments:</w:t>
      </w:r>
    </w:p>
    <w:p w:rsidR="008C2240" w:rsidRDefault="003233A4" w:rsidP="008C2240">
      <w:pPr>
        <w:spacing w:after="0"/>
        <w:rPr>
          <w:sz w:val="24"/>
          <w:szCs w:val="24"/>
        </w:rPr>
      </w:pPr>
      <w:r>
        <w:rPr>
          <w:b/>
          <w:sz w:val="24"/>
          <w:szCs w:val="24"/>
        </w:rPr>
        <w:t xml:space="preserve">Reflections </w:t>
      </w:r>
      <w:r w:rsidR="00AD79F0">
        <w:rPr>
          <w:b/>
          <w:sz w:val="24"/>
          <w:szCs w:val="24"/>
        </w:rPr>
        <w:t>—</w:t>
      </w:r>
      <w:r w:rsidR="00AD79F0">
        <w:rPr>
          <w:sz w:val="24"/>
          <w:szCs w:val="24"/>
        </w:rPr>
        <w:t>100 points (20 points</w:t>
      </w:r>
      <w:r w:rsidR="008C2240">
        <w:rPr>
          <w:sz w:val="24"/>
          <w:szCs w:val="24"/>
        </w:rPr>
        <w:t xml:space="preserve"> each</w:t>
      </w:r>
      <w:r w:rsidR="00AD79F0">
        <w:rPr>
          <w:sz w:val="24"/>
          <w:szCs w:val="24"/>
        </w:rPr>
        <w:t xml:space="preserve">). You will write 5 </w:t>
      </w:r>
      <w:r w:rsidR="00C66AF8">
        <w:rPr>
          <w:sz w:val="24"/>
          <w:szCs w:val="24"/>
        </w:rPr>
        <w:t>reflections</w:t>
      </w:r>
      <w:r w:rsidR="008C2240">
        <w:rPr>
          <w:sz w:val="24"/>
          <w:szCs w:val="24"/>
        </w:rPr>
        <w:t>.</w:t>
      </w:r>
    </w:p>
    <w:p w:rsidR="008C2240" w:rsidRPr="008C2240" w:rsidRDefault="008C2240" w:rsidP="008C2240">
      <w:pPr>
        <w:spacing w:after="0"/>
        <w:rPr>
          <w:b/>
          <w:sz w:val="24"/>
          <w:szCs w:val="24"/>
        </w:rPr>
      </w:pPr>
      <w:r w:rsidRPr="008C2240">
        <w:rPr>
          <w:b/>
          <w:sz w:val="24"/>
          <w:szCs w:val="24"/>
        </w:rPr>
        <w:t>Lesson Plan Reflections</w:t>
      </w:r>
    </w:p>
    <w:p w:rsidR="003233A4" w:rsidRDefault="003233A4" w:rsidP="008C2240">
      <w:pPr>
        <w:spacing w:after="0"/>
        <w:rPr>
          <w:sz w:val="24"/>
          <w:szCs w:val="24"/>
        </w:rPr>
      </w:pPr>
      <w:r>
        <w:rPr>
          <w:sz w:val="24"/>
          <w:szCs w:val="24"/>
        </w:rPr>
        <w:t xml:space="preserve"> </w:t>
      </w:r>
      <w:r w:rsidR="00C66AF8">
        <w:rPr>
          <w:sz w:val="24"/>
          <w:szCs w:val="24"/>
        </w:rPr>
        <w:t xml:space="preserve">Four of the reflections will be connected to your lesson plans. As you reflect on your lesson, you will need to be explicit about what you learned. The reflective cycle includes: </w:t>
      </w:r>
    </w:p>
    <w:p w:rsidR="00C66AF8" w:rsidRDefault="00C66AF8" w:rsidP="00C66AF8">
      <w:pPr>
        <w:spacing w:after="0"/>
        <w:rPr>
          <w:sz w:val="24"/>
          <w:szCs w:val="24"/>
        </w:rPr>
      </w:pPr>
      <w:r w:rsidRPr="008C2240">
        <w:rPr>
          <w:b/>
          <w:sz w:val="24"/>
          <w:szCs w:val="24"/>
        </w:rPr>
        <w:t>What</w:t>
      </w:r>
      <w:r>
        <w:rPr>
          <w:sz w:val="24"/>
          <w:szCs w:val="24"/>
        </w:rPr>
        <w:t xml:space="preserve">--- briefly tell what happened. </w:t>
      </w:r>
    </w:p>
    <w:p w:rsidR="00C66AF8" w:rsidRDefault="00C66AF8" w:rsidP="00C66AF8">
      <w:pPr>
        <w:spacing w:after="0"/>
        <w:rPr>
          <w:sz w:val="24"/>
          <w:szCs w:val="24"/>
        </w:rPr>
      </w:pPr>
      <w:r w:rsidRPr="008C2240">
        <w:rPr>
          <w:b/>
          <w:sz w:val="24"/>
          <w:szCs w:val="24"/>
        </w:rPr>
        <w:t>So what</w:t>
      </w:r>
      <w:r>
        <w:rPr>
          <w:sz w:val="24"/>
          <w:szCs w:val="24"/>
        </w:rPr>
        <w:t xml:space="preserve"> --- </w:t>
      </w:r>
      <w:r w:rsidR="008C2240">
        <w:rPr>
          <w:sz w:val="24"/>
          <w:szCs w:val="24"/>
        </w:rPr>
        <w:t xml:space="preserve">what did you learn during the lesson --- about the students, the lesson, the content, etc. </w:t>
      </w:r>
    </w:p>
    <w:p w:rsidR="008C2240" w:rsidRDefault="008C2240" w:rsidP="00C66AF8">
      <w:pPr>
        <w:spacing w:after="0"/>
        <w:rPr>
          <w:sz w:val="24"/>
          <w:szCs w:val="24"/>
        </w:rPr>
      </w:pPr>
      <w:r w:rsidRPr="008C2240">
        <w:rPr>
          <w:b/>
          <w:sz w:val="24"/>
          <w:szCs w:val="24"/>
        </w:rPr>
        <w:t>Now what</w:t>
      </w:r>
      <w:r>
        <w:rPr>
          <w:sz w:val="24"/>
          <w:szCs w:val="24"/>
        </w:rPr>
        <w:t xml:space="preserve"> --- consider what you might do next time you teach the differently. Be explicit about future use. It is not enough to say everything was great, I would not make any changes! </w:t>
      </w:r>
    </w:p>
    <w:p w:rsidR="008C2240" w:rsidRDefault="008C2240" w:rsidP="00C66AF8">
      <w:pPr>
        <w:spacing w:after="0"/>
        <w:rPr>
          <w:b/>
          <w:sz w:val="24"/>
          <w:szCs w:val="24"/>
        </w:rPr>
      </w:pPr>
      <w:r w:rsidRPr="008C2240">
        <w:rPr>
          <w:b/>
          <w:sz w:val="24"/>
          <w:szCs w:val="24"/>
        </w:rPr>
        <w:t>Research Reflection</w:t>
      </w:r>
    </w:p>
    <w:p w:rsidR="008C2240" w:rsidRDefault="008C2240" w:rsidP="00C66AF8">
      <w:pPr>
        <w:spacing w:after="0"/>
        <w:rPr>
          <w:sz w:val="24"/>
          <w:szCs w:val="24"/>
        </w:rPr>
      </w:pPr>
      <w:r>
        <w:rPr>
          <w:sz w:val="24"/>
          <w:szCs w:val="24"/>
        </w:rPr>
        <w:t>After you complete your classroom research project, write a reflection of what you learned. Follow the same format --- what, so what, now what.</w:t>
      </w:r>
    </w:p>
    <w:p w:rsidR="008C2240" w:rsidRPr="008C2240" w:rsidRDefault="008C2240" w:rsidP="00C66AF8">
      <w:pPr>
        <w:spacing w:after="0"/>
        <w:rPr>
          <w:sz w:val="24"/>
          <w:szCs w:val="24"/>
        </w:rPr>
      </w:pPr>
    </w:p>
    <w:p w:rsidR="008C2240" w:rsidRPr="008C2240" w:rsidRDefault="003233A4" w:rsidP="00D642E0">
      <w:pPr>
        <w:rPr>
          <w:sz w:val="24"/>
          <w:szCs w:val="24"/>
        </w:rPr>
      </w:pPr>
      <w:r>
        <w:rPr>
          <w:b/>
          <w:sz w:val="24"/>
          <w:szCs w:val="24"/>
        </w:rPr>
        <w:t xml:space="preserve">Book Study – </w:t>
      </w:r>
      <w:r w:rsidRPr="003233A4">
        <w:rPr>
          <w:sz w:val="24"/>
          <w:szCs w:val="24"/>
        </w:rPr>
        <w:t>100 points</w:t>
      </w:r>
      <w:r>
        <w:rPr>
          <w:b/>
          <w:sz w:val="24"/>
          <w:szCs w:val="24"/>
        </w:rPr>
        <w:t xml:space="preserve"> </w:t>
      </w:r>
      <w:r w:rsidRPr="003233A4">
        <w:rPr>
          <w:sz w:val="24"/>
          <w:szCs w:val="24"/>
        </w:rPr>
        <w:t>(points/discussion cycle)</w:t>
      </w:r>
      <w:r>
        <w:rPr>
          <w:sz w:val="24"/>
          <w:szCs w:val="24"/>
        </w:rPr>
        <w:t xml:space="preserve">. </w:t>
      </w:r>
      <w:r w:rsidRPr="003233A4">
        <w:rPr>
          <w:i/>
          <w:sz w:val="24"/>
          <w:szCs w:val="24"/>
        </w:rPr>
        <w:t>Choice Words</w:t>
      </w:r>
      <w:r>
        <w:rPr>
          <w:sz w:val="24"/>
          <w:szCs w:val="24"/>
        </w:rPr>
        <w:t xml:space="preserve"> by Peter Johnston helps us take a closer look at the ways that communication happens in the classroom. </w:t>
      </w:r>
      <w:proofErr w:type="gramStart"/>
      <w:r w:rsidR="00871BAC">
        <w:rPr>
          <w:sz w:val="24"/>
          <w:szCs w:val="24"/>
        </w:rPr>
        <w:t>Johnston  elaborates</w:t>
      </w:r>
      <w:proofErr w:type="gramEnd"/>
      <w:r w:rsidR="00871BAC">
        <w:rPr>
          <w:sz w:val="24"/>
          <w:szCs w:val="24"/>
        </w:rPr>
        <w:t xml:space="preserve"> Vygotsky’s thoughts about language and mental functions. Vygotsky wrote about language moving from the </w:t>
      </w:r>
      <w:proofErr w:type="spellStart"/>
      <w:r w:rsidR="00871BAC">
        <w:rPr>
          <w:sz w:val="24"/>
          <w:szCs w:val="24"/>
        </w:rPr>
        <w:t>interpsychological</w:t>
      </w:r>
      <w:proofErr w:type="spellEnd"/>
      <w:r w:rsidR="00871BAC">
        <w:rPr>
          <w:sz w:val="24"/>
          <w:szCs w:val="24"/>
        </w:rPr>
        <w:t xml:space="preserve"> to the </w:t>
      </w:r>
      <w:proofErr w:type="spellStart"/>
      <w:r w:rsidR="00871BAC">
        <w:rPr>
          <w:sz w:val="24"/>
          <w:szCs w:val="24"/>
        </w:rPr>
        <w:t>intrapsychological</w:t>
      </w:r>
      <w:proofErr w:type="spellEnd"/>
      <w:r w:rsidR="00871BAC">
        <w:rPr>
          <w:sz w:val="24"/>
          <w:szCs w:val="24"/>
        </w:rPr>
        <w:t xml:space="preserve">. More simply put, the conversations and words that we share with others soon become words and ideas that we think about inside our heads. Think about the times you might have thought --- </w:t>
      </w:r>
      <w:r w:rsidR="00871BAC" w:rsidRPr="00871BAC">
        <w:rPr>
          <w:i/>
          <w:sz w:val="24"/>
          <w:szCs w:val="24"/>
        </w:rPr>
        <w:t>I sound like my mother/father.</w:t>
      </w:r>
      <w:r w:rsidR="00871BAC">
        <w:rPr>
          <w:sz w:val="24"/>
          <w:szCs w:val="24"/>
        </w:rPr>
        <w:t xml:space="preserve"> Or </w:t>
      </w:r>
      <w:r w:rsidR="00871BAC" w:rsidRPr="00871BAC">
        <w:rPr>
          <w:i/>
          <w:sz w:val="24"/>
          <w:szCs w:val="24"/>
        </w:rPr>
        <w:t xml:space="preserve">I can already hear my teacher’s reaction when I tell her that the dog ate my homework. </w:t>
      </w:r>
      <w:r w:rsidR="002C5C8F">
        <w:rPr>
          <w:sz w:val="24"/>
          <w:szCs w:val="24"/>
        </w:rPr>
        <w:t xml:space="preserve">We will use Johnston’s book as a springboard for discussions on Blackboard Learn. </w:t>
      </w:r>
      <w:r w:rsidR="0038541F">
        <w:rPr>
          <w:sz w:val="24"/>
          <w:szCs w:val="24"/>
        </w:rPr>
        <w:t>Our discussions will help us build deeper knowledge about classroom talk, as well as make us aware of the talk in mentor’s classrooms.</w:t>
      </w:r>
      <w:r w:rsidR="008C2240">
        <w:rPr>
          <w:sz w:val="24"/>
          <w:szCs w:val="24"/>
        </w:rPr>
        <w:t xml:space="preserve"> </w:t>
      </w:r>
    </w:p>
    <w:p w:rsidR="00F243AE" w:rsidRDefault="002A2FF8" w:rsidP="00D642E0">
      <w:pPr>
        <w:rPr>
          <w:sz w:val="24"/>
          <w:szCs w:val="24"/>
        </w:rPr>
      </w:pPr>
      <w:r>
        <w:rPr>
          <w:b/>
          <w:sz w:val="24"/>
          <w:szCs w:val="24"/>
        </w:rPr>
        <w:t>Website</w:t>
      </w:r>
      <w:r w:rsidR="003F394F">
        <w:rPr>
          <w:b/>
          <w:sz w:val="24"/>
          <w:szCs w:val="24"/>
        </w:rPr>
        <w:t xml:space="preserve"> </w:t>
      </w:r>
      <w:r w:rsidR="004D04B6">
        <w:rPr>
          <w:b/>
          <w:sz w:val="24"/>
          <w:szCs w:val="24"/>
        </w:rPr>
        <w:t>–</w:t>
      </w:r>
      <w:r w:rsidR="003F394F">
        <w:rPr>
          <w:b/>
          <w:sz w:val="24"/>
          <w:szCs w:val="24"/>
        </w:rPr>
        <w:t xml:space="preserve"> </w:t>
      </w:r>
      <w:r w:rsidR="004D04B6" w:rsidRPr="004D04B6">
        <w:rPr>
          <w:sz w:val="24"/>
          <w:szCs w:val="24"/>
        </w:rPr>
        <w:t>100 points.</w:t>
      </w:r>
      <w:r w:rsidR="004D04B6">
        <w:rPr>
          <w:b/>
          <w:sz w:val="24"/>
          <w:szCs w:val="24"/>
        </w:rPr>
        <w:t xml:space="preserve"> </w:t>
      </w:r>
      <w:r w:rsidR="004D04B6">
        <w:rPr>
          <w:sz w:val="24"/>
          <w:szCs w:val="24"/>
        </w:rPr>
        <w:t xml:space="preserve">In our 2.0 world websites have become more important as a way </w:t>
      </w:r>
      <w:r w:rsidR="000A2479">
        <w:rPr>
          <w:sz w:val="24"/>
          <w:szCs w:val="24"/>
        </w:rPr>
        <w:t>for teachers to represent themselves</w:t>
      </w:r>
      <w:r w:rsidR="004D04B6">
        <w:rPr>
          <w:sz w:val="24"/>
          <w:szCs w:val="24"/>
        </w:rPr>
        <w:t xml:space="preserve"> to a variety of audiences. </w:t>
      </w:r>
      <w:r w:rsidR="000A2479">
        <w:rPr>
          <w:sz w:val="24"/>
          <w:szCs w:val="24"/>
        </w:rPr>
        <w:t>W</w:t>
      </w:r>
      <w:r w:rsidR="004D04B6">
        <w:rPr>
          <w:sz w:val="24"/>
          <w:szCs w:val="24"/>
        </w:rPr>
        <w:t xml:space="preserve">ebsite </w:t>
      </w:r>
      <w:r w:rsidR="000A2479">
        <w:rPr>
          <w:sz w:val="24"/>
          <w:szCs w:val="24"/>
        </w:rPr>
        <w:t xml:space="preserve">communicate with </w:t>
      </w:r>
      <w:r w:rsidR="004D04B6">
        <w:rPr>
          <w:sz w:val="24"/>
          <w:szCs w:val="24"/>
        </w:rPr>
        <w:t xml:space="preserve">parents, students, and administrators </w:t>
      </w:r>
      <w:r w:rsidR="000A2479">
        <w:rPr>
          <w:sz w:val="24"/>
          <w:szCs w:val="24"/>
        </w:rPr>
        <w:t xml:space="preserve">in ways that help them know </w:t>
      </w:r>
      <w:r w:rsidR="004D04B6">
        <w:rPr>
          <w:sz w:val="24"/>
          <w:szCs w:val="24"/>
        </w:rPr>
        <w:t xml:space="preserve">who we are and what we do </w:t>
      </w:r>
      <w:r w:rsidR="00A55B7A">
        <w:rPr>
          <w:sz w:val="24"/>
          <w:szCs w:val="24"/>
        </w:rPr>
        <w:lastRenderedPageBreak/>
        <w:t>in</w:t>
      </w:r>
      <w:r w:rsidR="004D04B6">
        <w:rPr>
          <w:sz w:val="24"/>
          <w:szCs w:val="24"/>
        </w:rPr>
        <w:t xml:space="preserve"> </w:t>
      </w:r>
      <w:r w:rsidR="00A55B7A">
        <w:rPr>
          <w:sz w:val="24"/>
          <w:szCs w:val="24"/>
        </w:rPr>
        <w:t>the</w:t>
      </w:r>
      <w:r w:rsidR="004D04B6">
        <w:rPr>
          <w:sz w:val="24"/>
          <w:szCs w:val="24"/>
        </w:rPr>
        <w:t xml:space="preserve"> classroom. Using </w:t>
      </w:r>
      <w:hyperlink r:id="rId7" w:history="1">
        <w:r w:rsidR="004D04B6" w:rsidRPr="00AE4621">
          <w:rPr>
            <w:rStyle w:val="Hyperlink"/>
            <w:rFonts w:ascii="Calibri" w:hAnsi="Calibri"/>
            <w:sz w:val="24"/>
            <w:szCs w:val="24"/>
          </w:rPr>
          <w:t>www.weebly.com</w:t>
        </w:r>
      </w:hyperlink>
      <w:r w:rsidR="004D04B6">
        <w:rPr>
          <w:sz w:val="24"/>
          <w:szCs w:val="24"/>
        </w:rPr>
        <w:t xml:space="preserve"> or similar platform, create a </w:t>
      </w:r>
      <w:r w:rsidR="000A2479">
        <w:rPr>
          <w:sz w:val="24"/>
          <w:szCs w:val="24"/>
        </w:rPr>
        <w:t xml:space="preserve">website that will introduce you. Your website should include things like --- a letter of introduction, classroom expectations, sample lessons, a philosophy (beliefs and practices), </w:t>
      </w:r>
      <w:r w:rsidR="00810602">
        <w:rPr>
          <w:sz w:val="24"/>
          <w:szCs w:val="24"/>
        </w:rPr>
        <w:t xml:space="preserve">logo that represents who you are as a teacher. </w:t>
      </w:r>
    </w:p>
    <w:p w:rsidR="00BC4273" w:rsidRPr="00E1269A" w:rsidRDefault="002A2FF8" w:rsidP="00D642E0">
      <w:pPr>
        <w:rPr>
          <w:sz w:val="24"/>
          <w:szCs w:val="24"/>
        </w:rPr>
      </w:pPr>
      <w:r>
        <w:rPr>
          <w:b/>
          <w:sz w:val="24"/>
          <w:szCs w:val="24"/>
        </w:rPr>
        <w:t>Lesson Plans</w:t>
      </w:r>
      <w:r w:rsidR="00F243AE">
        <w:rPr>
          <w:b/>
          <w:sz w:val="24"/>
          <w:szCs w:val="24"/>
        </w:rPr>
        <w:t xml:space="preserve"> </w:t>
      </w:r>
      <w:r w:rsidR="00F243AE">
        <w:rPr>
          <w:sz w:val="24"/>
          <w:szCs w:val="24"/>
        </w:rPr>
        <w:t xml:space="preserve">– </w:t>
      </w:r>
      <w:r w:rsidR="00195EC9">
        <w:rPr>
          <w:sz w:val="24"/>
          <w:szCs w:val="24"/>
        </w:rPr>
        <w:t>4</w:t>
      </w:r>
      <w:r w:rsidR="00F243AE">
        <w:rPr>
          <w:sz w:val="24"/>
          <w:szCs w:val="24"/>
        </w:rPr>
        <w:t>00 points (</w:t>
      </w:r>
      <w:r w:rsidR="00195EC9">
        <w:rPr>
          <w:sz w:val="24"/>
          <w:szCs w:val="24"/>
        </w:rPr>
        <w:t>100</w:t>
      </w:r>
      <w:r w:rsidR="00F243AE">
        <w:rPr>
          <w:sz w:val="24"/>
          <w:szCs w:val="24"/>
        </w:rPr>
        <w:t xml:space="preserve"> points per lesson plan). Using the Madeline Hunter lesson design format, develop and implement 4 lessons in at least two content areas. The lessons should demonstrate that you</w:t>
      </w:r>
      <w:r w:rsidR="00572F03">
        <w:rPr>
          <w:sz w:val="24"/>
          <w:szCs w:val="24"/>
        </w:rPr>
        <w:t>:</w:t>
      </w:r>
      <w:r w:rsidR="00F243AE">
        <w:rPr>
          <w:sz w:val="24"/>
          <w:szCs w:val="24"/>
        </w:rPr>
        <w:t xml:space="preserve"> understand the </w:t>
      </w:r>
      <w:r w:rsidR="00572F03">
        <w:rPr>
          <w:sz w:val="24"/>
          <w:szCs w:val="24"/>
        </w:rPr>
        <w:t xml:space="preserve">apprenticeship model of teaching/learning, know the content and supporting TEKS, allow for ways to differentiate and adapt during the lesson, and reflect on the outcomes as a inquirer. </w:t>
      </w:r>
      <w:r w:rsidR="00E1269A">
        <w:rPr>
          <w:sz w:val="24"/>
          <w:szCs w:val="24"/>
        </w:rPr>
        <w:t xml:space="preserve"> </w:t>
      </w:r>
    </w:p>
    <w:p w:rsidR="00D642E0" w:rsidRDefault="00BC4273" w:rsidP="00D642E0">
      <w:pPr>
        <w:rPr>
          <w:sz w:val="24"/>
          <w:szCs w:val="24"/>
        </w:rPr>
      </w:pPr>
      <w:r>
        <w:rPr>
          <w:b/>
          <w:sz w:val="24"/>
          <w:szCs w:val="24"/>
        </w:rPr>
        <w:t>Action Research</w:t>
      </w:r>
      <w:r w:rsidR="00E1269A">
        <w:rPr>
          <w:b/>
          <w:sz w:val="24"/>
          <w:szCs w:val="24"/>
        </w:rPr>
        <w:t xml:space="preserve"> </w:t>
      </w:r>
      <w:r w:rsidR="009725B6">
        <w:rPr>
          <w:sz w:val="24"/>
          <w:szCs w:val="24"/>
        </w:rPr>
        <w:t>–</w:t>
      </w:r>
      <w:r w:rsidR="00E1269A">
        <w:rPr>
          <w:b/>
          <w:sz w:val="24"/>
          <w:szCs w:val="24"/>
        </w:rPr>
        <w:t xml:space="preserve"> </w:t>
      </w:r>
      <w:r w:rsidR="009725B6">
        <w:rPr>
          <w:sz w:val="24"/>
          <w:szCs w:val="24"/>
        </w:rPr>
        <w:t>100 points</w:t>
      </w:r>
      <w:r w:rsidR="00DC67BE">
        <w:rPr>
          <w:sz w:val="24"/>
          <w:szCs w:val="24"/>
        </w:rPr>
        <w:t xml:space="preserve">. Identify a “sticky issue” that exists in your classroom or school. Take some </w:t>
      </w:r>
      <w:r w:rsidR="00810602">
        <w:rPr>
          <w:sz w:val="24"/>
          <w:szCs w:val="24"/>
        </w:rPr>
        <w:t xml:space="preserve">time </w:t>
      </w:r>
      <w:r w:rsidR="00DC67BE">
        <w:rPr>
          <w:sz w:val="24"/>
          <w:szCs w:val="24"/>
        </w:rPr>
        <w:t xml:space="preserve">to notice and name any patterns that you might see so that you clearly state the problem. Think about some ways that you might solve the problem and then try one of them. Collect data to determine what happens when you try solving the issue. Provide a reflection and analysis to demonstrate what you learned through this process. </w:t>
      </w:r>
      <w:r w:rsidR="002848B6">
        <w:rPr>
          <w:sz w:val="24"/>
          <w:szCs w:val="24"/>
        </w:rPr>
        <w:t xml:space="preserve">Use the rubric to help guide your thinking about this project. </w:t>
      </w:r>
    </w:p>
    <w:p w:rsidR="00810602" w:rsidRDefault="00673FED" w:rsidP="00810602">
      <w:pPr>
        <w:spacing w:after="0" w:line="240" w:lineRule="auto"/>
        <w:rPr>
          <w:sz w:val="24"/>
          <w:szCs w:val="24"/>
        </w:rPr>
      </w:pPr>
      <w:r>
        <w:rPr>
          <w:sz w:val="24"/>
          <w:szCs w:val="24"/>
        </w:rPr>
        <w:t xml:space="preserve">Provide Contextual Factors and </w:t>
      </w:r>
      <w:r w:rsidR="00810602">
        <w:rPr>
          <w:sz w:val="24"/>
          <w:szCs w:val="24"/>
        </w:rPr>
        <w:t xml:space="preserve">Define </w:t>
      </w:r>
      <w:r>
        <w:rPr>
          <w:sz w:val="24"/>
          <w:szCs w:val="24"/>
        </w:rPr>
        <w:t xml:space="preserve">Instructional </w:t>
      </w:r>
      <w:r w:rsidR="00810602">
        <w:rPr>
          <w:sz w:val="24"/>
          <w:szCs w:val="24"/>
        </w:rPr>
        <w:t xml:space="preserve">Problem </w:t>
      </w:r>
    </w:p>
    <w:p w:rsidR="00810602" w:rsidRDefault="00673FED" w:rsidP="00810602">
      <w:pPr>
        <w:spacing w:after="0" w:line="240" w:lineRule="auto"/>
        <w:rPr>
          <w:sz w:val="24"/>
          <w:szCs w:val="24"/>
        </w:rPr>
      </w:pPr>
      <w:r>
        <w:rPr>
          <w:sz w:val="24"/>
          <w:szCs w:val="24"/>
        </w:rPr>
        <w:t>Identify possible solutions and then determine which solution you will use and why. (Because you are addressing instructional goals, you will want to consider the assessment plan.)</w:t>
      </w:r>
    </w:p>
    <w:p w:rsidR="00673FED" w:rsidRDefault="00673FED" w:rsidP="00810602">
      <w:pPr>
        <w:spacing w:after="0" w:line="240" w:lineRule="auto"/>
        <w:rPr>
          <w:sz w:val="24"/>
          <w:szCs w:val="24"/>
        </w:rPr>
      </w:pPr>
      <w:r>
        <w:rPr>
          <w:sz w:val="24"/>
          <w:szCs w:val="24"/>
        </w:rPr>
        <w:t xml:space="preserve">Describe the intervention/action that you will implement. </w:t>
      </w:r>
    </w:p>
    <w:p w:rsidR="00673FED" w:rsidRDefault="00673FED" w:rsidP="00810602">
      <w:pPr>
        <w:spacing w:after="0" w:line="240" w:lineRule="auto"/>
        <w:rPr>
          <w:sz w:val="24"/>
          <w:szCs w:val="24"/>
        </w:rPr>
      </w:pPr>
      <w:r>
        <w:rPr>
          <w:sz w:val="24"/>
          <w:szCs w:val="24"/>
        </w:rPr>
        <w:t>Collect classroom data (this may be papers, tests, observations, lesson plans, etc.)</w:t>
      </w:r>
    </w:p>
    <w:p w:rsidR="00673FED" w:rsidRDefault="00673FED" w:rsidP="00810602">
      <w:pPr>
        <w:spacing w:after="0" w:line="240" w:lineRule="auto"/>
        <w:rPr>
          <w:sz w:val="24"/>
          <w:szCs w:val="24"/>
        </w:rPr>
      </w:pPr>
      <w:r>
        <w:rPr>
          <w:sz w:val="24"/>
          <w:szCs w:val="24"/>
        </w:rPr>
        <w:t>Analysis of Student Learning and Reflection</w:t>
      </w:r>
    </w:p>
    <w:p w:rsidR="00673FED" w:rsidRDefault="00673FED" w:rsidP="00810602">
      <w:pPr>
        <w:spacing w:after="0" w:line="240" w:lineRule="auto"/>
        <w:rPr>
          <w:sz w:val="24"/>
          <w:szCs w:val="24"/>
        </w:rPr>
      </w:pPr>
    </w:p>
    <w:p w:rsidR="00C066F2" w:rsidRDefault="00C066F2" w:rsidP="00D642E0">
      <w:pPr>
        <w:rPr>
          <w:b/>
          <w:sz w:val="24"/>
          <w:szCs w:val="24"/>
        </w:rPr>
      </w:pPr>
      <w:r>
        <w:rPr>
          <w:b/>
          <w:sz w:val="24"/>
          <w:szCs w:val="24"/>
        </w:rPr>
        <w:t>GRADING</w:t>
      </w:r>
    </w:p>
    <w:p w:rsidR="00C066F2" w:rsidRDefault="00AA48D2" w:rsidP="00C066F2">
      <w:pPr>
        <w:spacing w:after="0"/>
        <w:rPr>
          <w:sz w:val="24"/>
          <w:szCs w:val="24"/>
        </w:rPr>
      </w:pPr>
      <w:r>
        <w:rPr>
          <w:sz w:val="24"/>
          <w:szCs w:val="24"/>
        </w:rPr>
        <w:t xml:space="preserve">760 </w:t>
      </w:r>
      <w:r w:rsidR="00C066F2">
        <w:rPr>
          <w:sz w:val="24"/>
          <w:szCs w:val="24"/>
        </w:rPr>
        <w:t xml:space="preserve">- </w:t>
      </w:r>
      <w:r>
        <w:rPr>
          <w:sz w:val="24"/>
          <w:szCs w:val="24"/>
        </w:rPr>
        <w:t>8</w:t>
      </w:r>
      <w:r w:rsidR="00C066F2">
        <w:rPr>
          <w:sz w:val="24"/>
          <w:szCs w:val="24"/>
        </w:rPr>
        <w:t>00 = A</w:t>
      </w:r>
      <w:r w:rsidR="00E80396">
        <w:rPr>
          <w:sz w:val="24"/>
          <w:szCs w:val="24"/>
        </w:rPr>
        <w:tab/>
      </w:r>
      <w:r w:rsidR="00E80396">
        <w:rPr>
          <w:sz w:val="24"/>
          <w:szCs w:val="24"/>
        </w:rPr>
        <w:tab/>
      </w:r>
      <w:r w:rsidR="00E80396">
        <w:rPr>
          <w:sz w:val="24"/>
          <w:szCs w:val="24"/>
        </w:rPr>
        <w:tab/>
      </w:r>
      <w:r w:rsidR="00E80396">
        <w:rPr>
          <w:sz w:val="24"/>
          <w:szCs w:val="24"/>
        </w:rPr>
        <w:tab/>
      </w:r>
      <w:r w:rsidR="00E80396">
        <w:rPr>
          <w:sz w:val="24"/>
          <w:szCs w:val="24"/>
        </w:rPr>
        <w:tab/>
        <w:t>630 – 679 = D</w:t>
      </w:r>
    </w:p>
    <w:p w:rsidR="00C30CBC" w:rsidRDefault="00AA48D2" w:rsidP="00E80396">
      <w:pPr>
        <w:spacing w:after="0"/>
        <w:rPr>
          <w:sz w:val="24"/>
          <w:szCs w:val="24"/>
        </w:rPr>
      </w:pPr>
      <w:r>
        <w:rPr>
          <w:sz w:val="24"/>
          <w:szCs w:val="24"/>
        </w:rPr>
        <w:t>720</w:t>
      </w:r>
      <w:r w:rsidR="00C066F2">
        <w:rPr>
          <w:sz w:val="24"/>
          <w:szCs w:val="24"/>
        </w:rPr>
        <w:t xml:space="preserve">– </w:t>
      </w:r>
      <w:r>
        <w:rPr>
          <w:sz w:val="24"/>
          <w:szCs w:val="24"/>
        </w:rPr>
        <w:t>759</w:t>
      </w:r>
      <w:r w:rsidR="00C066F2">
        <w:rPr>
          <w:sz w:val="24"/>
          <w:szCs w:val="24"/>
        </w:rPr>
        <w:t xml:space="preserve"> = B</w:t>
      </w:r>
      <w:r w:rsidR="00E80396">
        <w:rPr>
          <w:sz w:val="24"/>
          <w:szCs w:val="24"/>
        </w:rPr>
        <w:tab/>
      </w:r>
      <w:r w:rsidR="00E80396">
        <w:rPr>
          <w:sz w:val="24"/>
          <w:szCs w:val="24"/>
        </w:rPr>
        <w:tab/>
      </w:r>
      <w:r w:rsidR="00E80396">
        <w:rPr>
          <w:sz w:val="24"/>
          <w:szCs w:val="24"/>
        </w:rPr>
        <w:tab/>
      </w:r>
      <w:r w:rsidR="00E80396">
        <w:rPr>
          <w:sz w:val="24"/>
          <w:szCs w:val="24"/>
        </w:rPr>
        <w:tab/>
      </w:r>
      <w:r w:rsidR="00E80396">
        <w:rPr>
          <w:sz w:val="24"/>
          <w:szCs w:val="24"/>
        </w:rPr>
        <w:tab/>
        <w:t>0 – 629 = F</w:t>
      </w:r>
      <w:r w:rsidR="00E80396">
        <w:rPr>
          <w:sz w:val="24"/>
          <w:szCs w:val="24"/>
        </w:rPr>
        <w:tab/>
      </w:r>
    </w:p>
    <w:p w:rsidR="00E80396" w:rsidRDefault="00C30CBC" w:rsidP="00E80396">
      <w:pPr>
        <w:spacing w:after="0"/>
        <w:rPr>
          <w:sz w:val="24"/>
          <w:szCs w:val="24"/>
        </w:rPr>
      </w:pPr>
      <w:r>
        <w:rPr>
          <w:sz w:val="24"/>
          <w:szCs w:val="24"/>
        </w:rPr>
        <w:t>680 – 720 = C</w:t>
      </w:r>
      <w:r w:rsidR="00E80396">
        <w:rPr>
          <w:sz w:val="24"/>
          <w:szCs w:val="24"/>
        </w:rPr>
        <w:tab/>
      </w:r>
      <w:r w:rsidR="00E80396">
        <w:rPr>
          <w:sz w:val="24"/>
          <w:szCs w:val="24"/>
        </w:rPr>
        <w:tab/>
      </w:r>
    </w:p>
    <w:p w:rsidR="00C066F2" w:rsidRDefault="00C066F2" w:rsidP="00C066F2">
      <w:pPr>
        <w:spacing w:after="0"/>
        <w:rPr>
          <w:sz w:val="24"/>
          <w:szCs w:val="24"/>
        </w:rPr>
      </w:pPr>
    </w:p>
    <w:p w:rsidR="00D642E0" w:rsidRPr="00A55B7A" w:rsidRDefault="00D642E0" w:rsidP="00D642E0">
      <w:pPr>
        <w:pStyle w:val="colorful0020list0020accent00201"/>
        <w:ind w:left="0"/>
        <w:jc w:val="center"/>
        <w:rPr>
          <w:rStyle w:val="colorful0020list0020accent00201char1"/>
          <w:b/>
          <w:bCs/>
          <w:sz w:val="24"/>
          <w:szCs w:val="24"/>
        </w:rPr>
      </w:pPr>
      <w:r w:rsidRPr="00A55B7A">
        <w:rPr>
          <w:rStyle w:val="colorful0020list0020accent00201char1"/>
          <w:b/>
          <w:bCs/>
          <w:sz w:val="24"/>
          <w:szCs w:val="24"/>
        </w:rPr>
        <w:t>Bibliography</w:t>
      </w:r>
    </w:p>
    <w:p w:rsidR="00D642E0" w:rsidRPr="00A55B7A" w:rsidRDefault="00D642E0" w:rsidP="00D642E0">
      <w:pPr>
        <w:pStyle w:val="colorful0020list0020accent00201"/>
        <w:ind w:left="0"/>
        <w:rPr>
          <w:rStyle w:val="colorful0020list0020accent00201char1"/>
          <w:bCs/>
          <w:sz w:val="24"/>
          <w:szCs w:val="24"/>
        </w:rPr>
      </w:pPr>
      <w:proofErr w:type="spellStart"/>
      <w:r w:rsidRPr="00A55B7A">
        <w:rPr>
          <w:rStyle w:val="colorful0020list0020accent00201char1"/>
          <w:bCs/>
          <w:sz w:val="24"/>
          <w:szCs w:val="24"/>
        </w:rPr>
        <w:t>Ballenca</w:t>
      </w:r>
      <w:proofErr w:type="spellEnd"/>
      <w:r w:rsidRPr="00A55B7A">
        <w:rPr>
          <w:rStyle w:val="colorful0020list0020accent00201char1"/>
          <w:bCs/>
          <w:sz w:val="24"/>
          <w:szCs w:val="24"/>
        </w:rPr>
        <w:t xml:space="preserve">, J., &amp; Brandt. R. (Eds.) (2010). </w:t>
      </w:r>
      <w:r w:rsidRPr="00A55B7A">
        <w:rPr>
          <w:rStyle w:val="colorful0020list0020accent00201char1"/>
          <w:bCs/>
          <w:i/>
          <w:sz w:val="24"/>
          <w:szCs w:val="24"/>
        </w:rPr>
        <w:t>21</w:t>
      </w:r>
      <w:r w:rsidRPr="00A55B7A">
        <w:rPr>
          <w:rStyle w:val="colorful0020list0020accent00201char1"/>
          <w:bCs/>
          <w:i/>
          <w:sz w:val="24"/>
          <w:szCs w:val="24"/>
          <w:vertAlign w:val="superscript"/>
        </w:rPr>
        <w:t>st</w:t>
      </w:r>
      <w:r w:rsidRPr="00A55B7A">
        <w:rPr>
          <w:rStyle w:val="colorful0020list0020accent00201char1"/>
          <w:bCs/>
          <w:i/>
          <w:sz w:val="24"/>
          <w:szCs w:val="24"/>
        </w:rPr>
        <w:t xml:space="preserve"> century skills: Rethinking how students learn </w:t>
      </w:r>
      <w:r w:rsidRPr="00A55B7A">
        <w:rPr>
          <w:rStyle w:val="colorful0020list0020accent00201char1"/>
          <w:bCs/>
          <w:i/>
          <w:sz w:val="24"/>
          <w:szCs w:val="24"/>
        </w:rPr>
        <w:tab/>
        <w:t xml:space="preserve">(Leading Edge). </w:t>
      </w:r>
      <w:r w:rsidRPr="00A55B7A">
        <w:rPr>
          <w:rStyle w:val="colorful0020list0020accent00201char1"/>
          <w:bCs/>
          <w:sz w:val="24"/>
          <w:szCs w:val="24"/>
        </w:rPr>
        <w:t xml:space="preserve"> Bloomington, IN: Solution Tree Press. </w:t>
      </w:r>
    </w:p>
    <w:p w:rsidR="00D642E0" w:rsidRPr="00A55B7A" w:rsidRDefault="00D642E0" w:rsidP="00D642E0">
      <w:pPr>
        <w:pStyle w:val="colorful0020list0020accent00201"/>
        <w:spacing w:after="0"/>
        <w:ind w:left="0"/>
        <w:rPr>
          <w:rStyle w:val="colorful0020list0020accent00201char1"/>
          <w:bCs/>
          <w:i/>
          <w:sz w:val="24"/>
          <w:szCs w:val="24"/>
        </w:rPr>
      </w:pPr>
      <w:r w:rsidRPr="00A55B7A">
        <w:rPr>
          <w:rStyle w:val="colorful0020list0020accent00201char1"/>
          <w:bCs/>
          <w:sz w:val="24"/>
          <w:szCs w:val="24"/>
        </w:rPr>
        <w:t xml:space="preserve">Baker, F. W., &amp; Jacobs, H. H. (2010). </w:t>
      </w:r>
      <w:r w:rsidRPr="00A55B7A">
        <w:rPr>
          <w:rStyle w:val="colorful0020list0020accent00201char1"/>
          <w:bCs/>
          <w:i/>
          <w:sz w:val="24"/>
          <w:szCs w:val="24"/>
        </w:rPr>
        <w:t>Curriculum 21: Essential education for a changing world.</w:t>
      </w:r>
    </w:p>
    <w:p w:rsidR="00D642E0" w:rsidRPr="00A55B7A" w:rsidRDefault="00D642E0" w:rsidP="00D642E0">
      <w:pPr>
        <w:pStyle w:val="colorful0020list0020accent00201"/>
        <w:spacing w:after="0"/>
        <w:ind w:left="0"/>
        <w:rPr>
          <w:rStyle w:val="colorful0020list0020accent00201char1"/>
          <w:bCs/>
          <w:sz w:val="24"/>
          <w:szCs w:val="24"/>
        </w:rPr>
      </w:pPr>
      <w:r w:rsidRPr="00A55B7A">
        <w:rPr>
          <w:rStyle w:val="colorful0020list0020accent00201char1"/>
          <w:bCs/>
          <w:i/>
          <w:sz w:val="24"/>
          <w:szCs w:val="24"/>
        </w:rPr>
        <w:tab/>
      </w:r>
      <w:r w:rsidRPr="00A55B7A">
        <w:rPr>
          <w:rStyle w:val="colorful0020list0020accent00201char1"/>
          <w:bCs/>
          <w:sz w:val="24"/>
          <w:szCs w:val="24"/>
        </w:rPr>
        <w:t xml:space="preserve">Alexandria, VA: ASCD Publications. </w:t>
      </w:r>
    </w:p>
    <w:p w:rsidR="00D642E0" w:rsidRPr="00A55B7A" w:rsidRDefault="00D642E0" w:rsidP="00D642E0">
      <w:pPr>
        <w:pStyle w:val="colorful0020list0020accent00201"/>
        <w:spacing w:after="0"/>
        <w:ind w:left="0"/>
        <w:rPr>
          <w:rStyle w:val="colorful0020list0020accent00201char1"/>
          <w:bCs/>
          <w:sz w:val="24"/>
          <w:szCs w:val="24"/>
        </w:rPr>
      </w:pPr>
    </w:p>
    <w:p w:rsidR="00D642E0" w:rsidRPr="00A55B7A" w:rsidRDefault="00D642E0" w:rsidP="00D642E0">
      <w:pPr>
        <w:pStyle w:val="Heading1"/>
        <w:spacing w:before="0" w:beforeAutospacing="0" w:after="0" w:afterAutospacing="0"/>
        <w:rPr>
          <w:b w:val="0"/>
          <w:bCs w:val="0"/>
          <w:i/>
          <w:sz w:val="24"/>
          <w:szCs w:val="24"/>
        </w:rPr>
      </w:pPr>
      <w:r w:rsidRPr="00A55B7A">
        <w:rPr>
          <w:rStyle w:val="colorful0020list0020accent00201char1"/>
          <w:b w:val="0"/>
          <w:bCs w:val="0"/>
          <w:sz w:val="24"/>
          <w:szCs w:val="24"/>
        </w:rPr>
        <w:t xml:space="preserve">Cochran-Smith, M., &amp; Lytle, S. (2009). </w:t>
      </w:r>
      <w:r w:rsidRPr="00A55B7A">
        <w:rPr>
          <w:b w:val="0"/>
          <w:bCs w:val="0"/>
          <w:i/>
          <w:sz w:val="24"/>
          <w:szCs w:val="24"/>
        </w:rPr>
        <w:t xml:space="preserve">Inquiry as stance: Practitioner research in the next </w:t>
      </w:r>
    </w:p>
    <w:p w:rsidR="00D642E0" w:rsidRPr="00A55B7A" w:rsidRDefault="00D642E0" w:rsidP="00D642E0">
      <w:pPr>
        <w:pStyle w:val="Heading1"/>
        <w:spacing w:before="0" w:beforeAutospacing="0" w:after="0" w:afterAutospacing="0"/>
        <w:rPr>
          <w:b w:val="0"/>
          <w:bCs w:val="0"/>
          <w:sz w:val="24"/>
          <w:szCs w:val="24"/>
        </w:rPr>
      </w:pPr>
      <w:r w:rsidRPr="00A55B7A">
        <w:rPr>
          <w:b w:val="0"/>
          <w:bCs w:val="0"/>
          <w:i/>
          <w:sz w:val="24"/>
          <w:szCs w:val="24"/>
        </w:rPr>
        <w:tab/>
      </w:r>
      <w:proofErr w:type="gramStart"/>
      <w:r w:rsidRPr="00A55B7A">
        <w:rPr>
          <w:b w:val="0"/>
          <w:bCs w:val="0"/>
          <w:i/>
          <w:sz w:val="24"/>
          <w:szCs w:val="24"/>
        </w:rPr>
        <w:t>generation</w:t>
      </w:r>
      <w:proofErr w:type="gramEnd"/>
      <w:r w:rsidRPr="00A55B7A">
        <w:rPr>
          <w:b w:val="0"/>
          <w:bCs w:val="0"/>
          <w:i/>
          <w:sz w:val="24"/>
          <w:szCs w:val="24"/>
        </w:rPr>
        <w:t xml:space="preserve"> (Practitioners inquiry).</w:t>
      </w:r>
      <w:r w:rsidRPr="00A55B7A">
        <w:rPr>
          <w:b w:val="0"/>
          <w:bCs w:val="0"/>
          <w:sz w:val="24"/>
          <w:szCs w:val="24"/>
        </w:rPr>
        <w:t xml:space="preserve"> NY: Teachers College Press.</w:t>
      </w:r>
    </w:p>
    <w:p w:rsidR="00D642E0" w:rsidRPr="00A55B7A" w:rsidRDefault="00D642E0" w:rsidP="00D642E0">
      <w:pPr>
        <w:pStyle w:val="Heading1"/>
        <w:spacing w:before="0" w:beforeAutospacing="0" w:after="0" w:afterAutospacing="0"/>
        <w:rPr>
          <w:b w:val="0"/>
          <w:bCs w:val="0"/>
          <w:sz w:val="24"/>
          <w:szCs w:val="24"/>
        </w:rPr>
      </w:pPr>
    </w:p>
    <w:p w:rsidR="00D642E0" w:rsidRPr="00A55B7A" w:rsidRDefault="00D642E0" w:rsidP="00D642E0">
      <w:pPr>
        <w:pStyle w:val="Heading1"/>
        <w:spacing w:before="0" w:beforeAutospacing="0" w:after="0" w:afterAutospacing="0"/>
        <w:rPr>
          <w:rStyle w:val="colorful0020list0020accent00201char1"/>
          <w:b w:val="0"/>
          <w:bCs w:val="0"/>
          <w:sz w:val="24"/>
          <w:szCs w:val="24"/>
        </w:rPr>
      </w:pPr>
      <w:r w:rsidRPr="00A55B7A">
        <w:rPr>
          <w:rStyle w:val="colorful0020list0020accent00201char1"/>
          <w:b w:val="0"/>
          <w:bCs w:val="0"/>
          <w:sz w:val="24"/>
          <w:szCs w:val="24"/>
        </w:rPr>
        <w:t xml:space="preserve">Cochran-Smith, M., &amp; Lytle, S. (1993). </w:t>
      </w:r>
      <w:r w:rsidRPr="00A55B7A">
        <w:rPr>
          <w:rStyle w:val="colorful0020list0020accent00201char1"/>
          <w:b w:val="0"/>
          <w:bCs w:val="0"/>
          <w:i/>
          <w:sz w:val="24"/>
          <w:szCs w:val="24"/>
        </w:rPr>
        <w:t xml:space="preserve">Inside outside: Teacher research and knowledge. </w:t>
      </w:r>
      <w:r w:rsidRPr="00A55B7A">
        <w:rPr>
          <w:rStyle w:val="colorful0020list0020accent00201char1"/>
          <w:b w:val="0"/>
          <w:bCs w:val="0"/>
          <w:sz w:val="24"/>
          <w:szCs w:val="24"/>
        </w:rPr>
        <w:t>NY:</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r w:rsidRPr="00A55B7A">
        <w:rPr>
          <w:rStyle w:val="colorful0020list0020accent00201char1"/>
          <w:b w:val="0"/>
          <w:bCs w:val="0"/>
          <w:sz w:val="24"/>
          <w:szCs w:val="24"/>
        </w:rPr>
        <w:lastRenderedPageBreak/>
        <w:tab/>
      </w:r>
      <w:r w:rsidRPr="00A55B7A">
        <w:rPr>
          <w:rStyle w:val="colorful0020list0020accent00201char1"/>
          <w:rFonts w:asciiTheme="minorHAnsi" w:hAnsiTheme="minorHAnsi"/>
          <w:b w:val="0"/>
          <w:bCs w:val="0"/>
          <w:sz w:val="24"/>
          <w:szCs w:val="24"/>
        </w:rPr>
        <w:t>Teachers College Press.</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p>
    <w:p w:rsidR="00D642E0" w:rsidRPr="00A55B7A" w:rsidRDefault="00D642E0" w:rsidP="00D642E0">
      <w:pPr>
        <w:autoSpaceDE w:val="0"/>
        <w:autoSpaceDN w:val="0"/>
        <w:adjustRightInd w:val="0"/>
        <w:spacing w:after="0" w:line="240" w:lineRule="auto"/>
        <w:rPr>
          <w:rFonts w:asciiTheme="minorHAnsi" w:hAnsiTheme="minorHAnsi"/>
          <w:i/>
          <w:sz w:val="24"/>
          <w:szCs w:val="24"/>
        </w:rPr>
      </w:pPr>
      <w:r w:rsidRPr="00A55B7A">
        <w:rPr>
          <w:rFonts w:asciiTheme="minorHAnsi" w:hAnsiTheme="minorHAnsi"/>
          <w:sz w:val="24"/>
          <w:szCs w:val="24"/>
        </w:rPr>
        <w:t xml:space="preserve">Coil, C. (2000).  </w:t>
      </w:r>
      <w:r w:rsidRPr="00A55B7A">
        <w:rPr>
          <w:rFonts w:asciiTheme="minorHAnsi" w:hAnsiTheme="minorHAnsi"/>
          <w:i/>
          <w:sz w:val="24"/>
          <w:szCs w:val="24"/>
        </w:rPr>
        <w:t>Teaching tools for the 21</w:t>
      </w:r>
      <w:r w:rsidRPr="00A55B7A">
        <w:rPr>
          <w:rFonts w:asciiTheme="minorHAnsi" w:hAnsiTheme="minorHAnsi"/>
          <w:i/>
          <w:sz w:val="24"/>
          <w:szCs w:val="24"/>
          <w:vertAlign w:val="superscript"/>
        </w:rPr>
        <w:t>st</w:t>
      </w:r>
      <w:r w:rsidRPr="00A55B7A">
        <w:rPr>
          <w:rFonts w:asciiTheme="minorHAnsi" w:hAnsiTheme="minorHAnsi"/>
          <w:i/>
          <w:sz w:val="24"/>
          <w:szCs w:val="24"/>
        </w:rPr>
        <w:t xml:space="preserve"> century.  </w:t>
      </w:r>
      <w:r w:rsidRPr="00A55B7A">
        <w:rPr>
          <w:rFonts w:asciiTheme="minorHAnsi" w:hAnsiTheme="minorHAnsi"/>
          <w:sz w:val="24"/>
          <w:szCs w:val="24"/>
        </w:rPr>
        <w:t xml:space="preserve">Beavercreek, Ohio: Pieces of Learning. </w:t>
      </w:r>
      <w:r w:rsidRPr="00A55B7A">
        <w:rPr>
          <w:rFonts w:asciiTheme="minorHAnsi" w:hAnsiTheme="minorHAnsi"/>
          <w:i/>
          <w:sz w:val="24"/>
          <w:szCs w:val="24"/>
        </w:rPr>
        <w:t xml:space="preserve"> </w:t>
      </w:r>
    </w:p>
    <w:p w:rsidR="00D642E0" w:rsidRPr="00A55B7A" w:rsidRDefault="00D642E0" w:rsidP="00D642E0">
      <w:pPr>
        <w:pStyle w:val="default"/>
        <w:rPr>
          <w:rFonts w:asciiTheme="minorHAnsi" w:hAnsiTheme="minorHAnsi"/>
        </w:rPr>
      </w:pPr>
    </w:p>
    <w:p w:rsidR="00D642E0" w:rsidRPr="00A55B7A" w:rsidRDefault="00D642E0" w:rsidP="00D642E0">
      <w:pPr>
        <w:pStyle w:val="Default0"/>
        <w:rPr>
          <w:rFonts w:asciiTheme="minorHAnsi" w:hAnsiTheme="minorHAnsi"/>
          <w:color w:val="auto"/>
        </w:rPr>
      </w:pPr>
      <w:r w:rsidRPr="00A55B7A">
        <w:rPr>
          <w:rFonts w:asciiTheme="minorHAnsi" w:hAnsiTheme="minorHAnsi"/>
          <w:color w:val="auto"/>
        </w:rPr>
        <w:t xml:space="preserve">Danielson, C. (1996).  </w:t>
      </w:r>
      <w:r w:rsidRPr="00A55B7A">
        <w:rPr>
          <w:rFonts w:asciiTheme="minorHAnsi" w:hAnsiTheme="minorHAnsi"/>
          <w:i/>
          <w:color w:val="auto"/>
        </w:rPr>
        <w:t xml:space="preserve">Enhancing professional practice: A framework for teaching.  </w:t>
      </w:r>
      <w:r w:rsidRPr="00A55B7A">
        <w:rPr>
          <w:rFonts w:asciiTheme="minorHAnsi" w:hAnsiTheme="minorHAnsi"/>
          <w:color w:val="auto"/>
        </w:rPr>
        <w:tab/>
        <w:t>Alexandria, Virginia:  Association for Supervision and Curriculum Development.</w:t>
      </w:r>
    </w:p>
    <w:p w:rsidR="00D642E0" w:rsidRPr="00A55B7A" w:rsidRDefault="00D642E0" w:rsidP="00D642E0">
      <w:pPr>
        <w:pStyle w:val="default"/>
        <w:rPr>
          <w:rFonts w:asciiTheme="minorHAnsi" w:hAnsiTheme="minorHAnsi"/>
        </w:rPr>
      </w:pPr>
    </w:p>
    <w:p w:rsidR="00D642E0" w:rsidRPr="00A55B7A" w:rsidRDefault="00D642E0" w:rsidP="00D642E0">
      <w:pPr>
        <w:pStyle w:val="default"/>
        <w:rPr>
          <w:rFonts w:asciiTheme="minorHAnsi" w:hAnsiTheme="minorHAnsi"/>
        </w:rPr>
      </w:pPr>
      <w:r w:rsidRPr="00A55B7A">
        <w:rPr>
          <w:rFonts w:asciiTheme="minorHAnsi" w:hAnsiTheme="minorHAnsi"/>
        </w:rPr>
        <w:t>Darling-Hammond, Linda (2010). Constructing 21</w:t>
      </w:r>
      <w:r w:rsidRPr="00A55B7A">
        <w:rPr>
          <w:rFonts w:asciiTheme="minorHAnsi" w:hAnsiTheme="minorHAnsi"/>
          <w:vertAlign w:val="superscript"/>
        </w:rPr>
        <w:t>st</w:t>
      </w:r>
      <w:r w:rsidRPr="00A55B7A">
        <w:rPr>
          <w:rFonts w:asciiTheme="minorHAnsi" w:hAnsiTheme="minorHAnsi"/>
        </w:rPr>
        <w:t xml:space="preserve">-Century Teacher Education. In V. Hill- </w:t>
      </w:r>
    </w:p>
    <w:p w:rsidR="00D642E0" w:rsidRPr="00A55B7A" w:rsidRDefault="00D642E0" w:rsidP="00D642E0">
      <w:pPr>
        <w:pStyle w:val="default"/>
        <w:rPr>
          <w:rFonts w:asciiTheme="minorHAnsi" w:hAnsiTheme="minorHAnsi"/>
        </w:rPr>
      </w:pPr>
      <w:r w:rsidRPr="00A55B7A">
        <w:rPr>
          <w:rFonts w:asciiTheme="minorHAnsi" w:hAnsiTheme="minorHAnsi"/>
        </w:rPr>
        <w:tab/>
        <w:t xml:space="preserve">Lewis &amp; C.W. Lewis. </w:t>
      </w:r>
      <w:r w:rsidRPr="00A55B7A">
        <w:rPr>
          <w:rStyle w:val="defaultchar1"/>
          <w:rFonts w:asciiTheme="minorHAnsi" w:hAnsiTheme="minorHAnsi"/>
          <w:i/>
          <w:iCs/>
        </w:rPr>
        <w:t xml:space="preserve">Transforming Teacher Education </w:t>
      </w:r>
      <w:r w:rsidRPr="00A55B7A">
        <w:rPr>
          <w:rFonts w:asciiTheme="minorHAnsi" w:hAnsiTheme="minorHAnsi"/>
        </w:rPr>
        <w:t xml:space="preserve">(pp. 223-247). Sterling, VA: </w:t>
      </w:r>
    </w:p>
    <w:p w:rsidR="00D642E0" w:rsidRPr="00A55B7A" w:rsidRDefault="00D642E0" w:rsidP="00D642E0">
      <w:pPr>
        <w:pStyle w:val="default"/>
        <w:rPr>
          <w:rFonts w:asciiTheme="minorHAnsi" w:hAnsiTheme="minorHAnsi"/>
        </w:rPr>
      </w:pPr>
      <w:r w:rsidRPr="00A55B7A">
        <w:rPr>
          <w:rFonts w:asciiTheme="minorHAnsi" w:hAnsiTheme="minorHAnsi"/>
        </w:rPr>
        <w:tab/>
        <w:t xml:space="preserve">Stylus Publishing. </w:t>
      </w:r>
    </w:p>
    <w:p w:rsidR="00D642E0" w:rsidRPr="00A55B7A" w:rsidRDefault="00D642E0" w:rsidP="00D642E0">
      <w:pPr>
        <w:pStyle w:val="default"/>
        <w:rPr>
          <w:rFonts w:asciiTheme="minorHAnsi" w:hAnsiTheme="minorHAnsi"/>
        </w:rPr>
      </w:pPr>
    </w:p>
    <w:p w:rsidR="00D642E0" w:rsidRPr="00A55B7A" w:rsidRDefault="00D642E0" w:rsidP="00D642E0">
      <w:pPr>
        <w:pStyle w:val="Heading1"/>
        <w:spacing w:before="0" w:beforeAutospacing="0" w:after="0" w:afterAutospacing="0"/>
        <w:rPr>
          <w:rFonts w:asciiTheme="minorHAnsi" w:hAnsiTheme="minorHAnsi"/>
          <w:b w:val="0"/>
          <w:bCs w:val="0"/>
          <w:i/>
          <w:sz w:val="24"/>
          <w:szCs w:val="24"/>
        </w:rPr>
      </w:pPr>
      <w:r w:rsidRPr="00A55B7A">
        <w:rPr>
          <w:rFonts w:asciiTheme="minorHAnsi" w:hAnsiTheme="minorHAnsi"/>
          <w:b w:val="0"/>
          <w:bCs w:val="0"/>
          <w:sz w:val="24"/>
          <w:szCs w:val="24"/>
        </w:rPr>
        <w:t xml:space="preserve"> </w:t>
      </w:r>
      <w:proofErr w:type="spellStart"/>
      <w:r w:rsidRPr="00A55B7A">
        <w:rPr>
          <w:rFonts w:asciiTheme="minorHAnsi" w:hAnsiTheme="minorHAnsi"/>
          <w:b w:val="0"/>
          <w:bCs w:val="0"/>
          <w:sz w:val="24"/>
          <w:szCs w:val="24"/>
        </w:rPr>
        <w:t>Fichtman</w:t>
      </w:r>
      <w:proofErr w:type="spellEnd"/>
      <w:r w:rsidRPr="00A55B7A">
        <w:rPr>
          <w:rFonts w:asciiTheme="minorHAnsi" w:hAnsiTheme="minorHAnsi"/>
          <w:b w:val="0"/>
          <w:bCs w:val="0"/>
          <w:sz w:val="24"/>
          <w:szCs w:val="24"/>
        </w:rPr>
        <w:t xml:space="preserve">- Dana, N. L., &amp; </w:t>
      </w:r>
      <w:proofErr w:type="spellStart"/>
      <w:r w:rsidRPr="00A55B7A">
        <w:rPr>
          <w:rFonts w:asciiTheme="minorHAnsi" w:hAnsiTheme="minorHAnsi"/>
          <w:b w:val="0"/>
          <w:bCs w:val="0"/>
          <w:sz w:val="24"/>
          <w:szCs w:val="24"/>
        </w:rPr>
        <w:t>Yendel-Hoppey</w:t>
      </w:r>
      <w:proofErr w:type="spellEnd"/>
      <w:r w:rsidRPr="00A55B7A">
        <w:rPr>
          <w:rFonts w:asciiTheme="minorHAnsi" w:hAnsiTheme="minorHAnsi"/>
          <w:b w:val="0"/>
          <w:bCs w:val="0"/>
          <w:sz w:val="24"/>
          <w:szCs w:val="24"/>
        </w:rPr>
        <w:t xml:space="preserve">, D. (Eds.) (2008). </w:t>
      </w:r>
      <w:r w:rsidRPr="00A55B7A">
        <w:rPr>
          <w:rFonts w:asciiTheme="minorHAnsi" w:hAnsiTheme="minorHAnsi"/>
          <w:b w:val="0"/>
          <w:bCs w:val="0"/>
          <w:i/>
          <w:sz w:val="24"/>
          <w:szCs w:val="24"/>
        </w:rPr>
        <w:t xml:space="preserve">The reflective educator's guide to </w:t>
      </w:r>
    </w:p>
    <w:p w:rsidR="00D642E0" w:rsidRPr="00A55B7A" w:rsidRDefault="00D642E0" w:rsidP="00D642E0">
      <w:pPr>
        <w:pStyle w:val="Heading1"/>
        <w:spacing w:before="0" w:beforeAutospacing="0" w:after="0" w:afterAutospacing="0"/>
        <w:rPr>
          <w:rFonts w:asciiTheme="minorHAnsi" w:hAnsiTheme="minorHAnsi"/>
          <w:b w:val="0"/>
          <w:bCs w:val="0"/>
          <w:i/>
          <w:sz w:val="24"/>
          <w:szCs w:val="24"/>
        </w:rPr>
      </w:pPr>
      <w:r w:rsidRPr="00A55B7A">
        <w:rPr>
          <w:rFonts w:asciiTheme="minorHAnsi" w:hAnsiTheme="minorHAnsi"/>
          <w:b w:val="0"/>
          <w:bCs w:val="0"/>
          <w:i/>
          <w:sz w:val="24"/>
          <w:szCs w:val="24"/>
        </w:rPr>
        <w:tab/>
      </w:r>
      <w:proofErr w:type="gramStart"/>
      <w:r w:rsidRPr="00A55B7A">
        <w:rPr>
          <w:rFonts w:asciiTheme="minorHAnsi" w:hAnsiTheme="minorHAnsi"/>
          <w:b w:val="0"/>
          <w:bCs w:val="0"/>
          <w:i/>
          <w:sz w:val="24"/>
          <w:szCs w:val="24"/>
        </w:rPr>
        <w:t>classroom</w:t>
      </w:r>
      <w:proofErr w:type="gramEnd"/>
      <w:r w:rsidRPr="00A55B7A">
        <w:rPr>
          <w:rFonts w:asciiTheme="minorHAnsi" w:hAnsiTheme="minorHAnsi"/>
          <w:b w:val="0"/>
          <w:bCs w:val="0"/>
          <w:i/>
          <w:sz w:val="24"/>
          <w:szCs w:val="24"/>
        </w:rPr>
        <w:t xml:space="preserve"> research: Learning to teach and teaching to learn through practitioner </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r w:rsidRPr="00A55B7A">
        <w:rPr>
          <w:rFonts w:asciiTheme="minorHAnsi" w:hAnsiTheme="minorHAnsi"/>
          <w:b w:val="0"/>
          <w:bCs w:val="0"/>
          <w:i/>
          <w:sz w:val="24"/>
          <w:szCs w:val="24"/>
        </w:rPr>
        <w:tab/>
      </w:r>
      <w:proofErr w:type="gramStart"/>
      <w:r w:rsidRPr="00A55B7A">
        <w:rPr>
          <w:rFonts w:asciiTheme="minorHAnsi" w:hAnsiTheme="minorHAnsi"/>
          <w:b w:val="0"/>
          <w:bCs w:val="0"/>
          <w:i/>
          <w:sz w:val="24"/>
          <w:szCs w:val="24"/>
        </w:rPr>
        <w:t>inquiry</w:t>
      </w:r>
      <w:proofErr w:type="gramEnd"/>
      <w:r w:rsidRPr="00A55B7A">
        <w:rPr>
          <w:rFonts w:asciiTheme="minorHAnsi" w:hAnsiTheme="minorHAnsi"/>
          <w:b w:val="0"/>
          <w:bCs w:val="0"/>
          <w:i/>
          <w:sz w:val="24"/>
          <w:szCs w:val="24"/>
        </w:rPr>
        <w:t xml:space="preserve"> </w:t>
      </w:r>
      <w:r w:rsidRPr="00A55B7A">
        <w:rPr>
          <w:rFonts w:asciiTheme="minorHAnsi" w:hAnsiTheme="minorHAnsi"/>
          <w:b w:val="0"/>
          <w:bCs w:val="0"/>
          <w:sz w:val="24"/>
          <w:szCs w:val="24"/>
        </w:rPr>
        <w:t>(2</w:t>
      </w:r>
      <w:r w:rsidRPr="00A55B7A">
        <w:rPr>
          <w:rFonts w:asciiTheme="minorHAnsi" w:hAnsiTheme="minorHAnsi"/>
          <w:b w:val="0"/>
          <w:bCs w:val="0"/>
          <w:sz w:val="24"/>
          <w:szCs w:val="24"/>
          <w:vertAlign w:val="superscript"/>
        </w:rPr>
        <w:t>nd</w:t>
      </w:r>
      <w:r w:rsidRPr="00A55B7A">
        <w:rPr>
          <w:rFonts w:asciiTheme="minorHAnsi" w:hAnsiTheme="minorHAnsi"/>
          <w:b w:val="0"/>
          <w:bCs w:val="0"/>
          <w:sz w:val="24"/>
          <w:szCs w:val="24"/>
        </w:rPr>
        <w:t xml:space="preserve"> Ed.)</w:t>
      </w:r>
      <w:r w:rsidRPr="00A55B7A">
        <w:rPr>
          <w:rFonts w:asciiTheme="minorHAnsi" w:hAnsiTheme="minorHAnsi"/>
          <w:b w:val="0"/>
          <w:bCs w:val="0"/>
          <w:i/>
          <w:sz w:val="24"/>
          <w:szCs w:val="24"/>
        </w:rPr>
        <w:t>.</w:t>
      </w:r>
      <w:r w:rsidRPr="00A55B7A">
        <w:rPr>
          <w:rFonts w:asciiTheme="minorHAnsi" w:hAnsiTheme="minorHAnsi"/>
          <w:b w:val="0"/>
          <w:bCs w:val="0"/>
          <w:sz w:val="24"/>
          <w:szCs w:val="24"/>
        </w:rPr>
        <w:t xml:space="preserve"> NY: Corwin Press.</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proofErr w:type="spellStart"/>
      <w:r w:rsidRPr="00A55B7A">
        <w:rPr>
          <w:rFonts w:asciiTheme="minorHAnsi" w:hAnsiTheme="minorHAnsi"/>
          <w:b w:val="0"/>
          <w:bCs w:val="0"/>
          <w:sz w:val="24"/>
          <w:szCs w:val="24"/>
        </w:rPr>
        <w:t>Fullan</w:t>
      </w:r>
      <w:proofErr w:type="spellEnd"/>
      <w:r w:rsidRPr="00A55B7A">
        <w:rPr>
          <w:rFonts w:asciiTheme="minorHAnsi" w:hAnsiTheme="minorHAnsi"/>
          <w:b w:val="0"/>
          <w:bCs w:val="0"/>
          <w:sz w:val="24"/>
          <w:szCs w:val="24"/>
        </w:rPr>
        <w:t xml:space="preserve">, M. (2012). </w:t>
      </w:r>
      <w:r w:rsidRPr="00A55B7A">
        <w:rPr>
          <w:rFonts w:asciiTheme="minorHAnsi" w:hAnsiTheme="minorHAnsi"/>
          <w:b w:val="0"/>
          <w:bCs w:val="0"/>
          <w:i/>
          <w:sz w:val="24"/>
          <w:szCs w:val="24"/>
        </w:rPr>
        <w:t xml:space="preserve">Change leader: Learning to do what matters most. </w:t>
      </w:r>
      <w:r w:rsidRPr="00A55B7A">
        <w:rPr>
          <w:rFonts w:asciiTheme="minorHAnsi" w:hAnsiTheme="minorHAnsi"/>
          <w:b w:val="0"/>
          <w:bCs w:val="0"/>
          <w:sz w:val="24"/>
          <w:szCs w:val="24"/>
        </w:rPr>
        <w:t>San Francisco, CA:</w:t>
      </w:r>
    </w:p>
    <w:p w:rsidR="00D642E0" w:rsidRPr="00A55B7A" w:rsidRDefault="00D642E0" w:rsidP="00D642E0">
      <w:pPr>
        <w:pStyle w:val="Heading1"/>
        <w:spacing w:before="0" w:beforeAutospacing="0" w:after="0" w:afterAutospacing="0"/>
        <w:ind w:firstLine="720"/>
        <w:rPr>
          <w:rFonts w:asciiTheme="minorHAnsi" w:hAnsiTheme="minorHAnsi"/>
          <w:b w:val="0"/>
          <w:bCs w:val="0"/>
          <w:sz w:val="24"/>
          <w:szCs w:val="24"/>
        </w:rPr>
      </w:pPr>
      <w:r w:rsidRPr="00A55B7A">
        <w:rPr>
          <w:rFonts w:asciiTheme="minorHAnsi" w:hAnsiTheme="minorHAnsi"/>
          <w:b w:val="0"/>
          <w:bCs w:val="0"/>
          <w:sz w:val="24"/>
          <w:szCs w:val="24"/>
        </w:rPr>
        <w:t xml:space="preserve"> </w:t>
      </w:r>
      <w:proofErr w:type="spellStart"/>
      <w:r w:rsidRPr="00A55B7A">
        <w:rPr>
          <w:rFonts w:asciiTheme="minorHAnsi" w:hAnsiTheme="minorHAnsi"/>
          <w:b w:val="0"/>
          <w:bCs w:val="0"/>
          <w:sz w:val="24"/>
          <w:szCs w:val="24"/>
        </w:rPr>
        <w:t>Jossey</w:t>
      </w:r>
      <w:proofErr w:type="spellEnd"/>
      <w:r w:rsidRPr="00A55B7A">
        <w:rPr>
          <w:rFonts w:asciiTheme="minorHAnsi" w:hAnsiTheme="minorHAnsi"/>
          <w:b w:val="0"/>
          <w:bCs w:val="0"/>
          <w:sz w:val="24"/>
          <w:szCs w:val="24"/>
        </w:rPr>
        <w:t xml:space="preserve">-Bass. </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proofErr w:type="spellStart"/>
      <w:r w:rsidRPr="00A55B7A">
        <w:rPr>
          <w:rFonts w:asciiTheme="minorHAnsi" w:hAnsiTheme="minorHAnsi"/>
          <w:b w:val="0"/>
          <w:bCs w:val="0"/>
          <w:sz w:val="24"/>
          <w:szCs w:val="24"/>
        </w:rPr>
        <w:t>Fullan</w:t>
      </w:r>
      <w:proofErr w:type="spellEnd"/>
      <w:r w:rsidRPr="00A55B7A">
        <w:rPr>
          <w:rFonts w:asciiTheme="minorHAnsi" w:hAnsiTheme="minorHAnsi"/>
          <w:b w:val="0"/>
          <w:bCs w:val="0"/>
          <w:sz w:val="24"/>
          <w:szCs w:val="24"/>
        </w:rPr>
        <w:t xml:space="preserve">, M., &amp; Hargreaves, A. (1996). </w:t>
      </w:r>
      <w:r w:rsidRPr="00A55B7A">
        <w:rPr>
          <w:rFonts w:asciiTheme="minorHAnsi" w:hAnsiTheme="minorHAnsi"/>
          <w:b w:val="0"/>
          <w:bCs w:val="0"/>
          <w:i/>
          <w:sz w:val="24"/>
          <w:szCs w:val="24"/>
        </w:rPr>
        <w:t xml:space="preserve">What’s worth fighting for in your </w:t>
      </w:r>
      <w:proofErr w:type="gramStart"/>
      <w:r w:rsidRPr="00A55B7A">
        <w:rPr>
          <w:rFonts w:asciiTheme="minorHAnsi" w:hAnsiTheme="minorHAnsi"/>
          <w:b w:val="0"/>
          <w:bCs w:val="0"/>
          <w:i/>
          <w:sz w:val="24"/>
          <w:szCs w:val="24"/>
        </w:rPr>
        <w:t>school.</w:t>
      </w:r>
      <w:proofErr w:type="gramEnd"/>
      <w:r w:rsidRPr="00A55B7A">
        <w:rPr>
          <w:rFonts w:asciiTheme="minorHAnsi" w:hAnsiTheme="minorHAnsi"/>
          <w:b w:val="0"/>
          <w:bCs w:val="0"/>
          <w:i/>
          <w:sz w:val="24"/>
          <w:szCs w:val="24"/>
        </w:rPr>
        <w:t xml:space="preserve"> </w:t>
      </w:r>
      <w:r w:rsidRPr="00A55B7A">
        <w:rPr>
          <w:rFonts w:asciiTheme="minorHAnsi" w:hAnsiTheme="minorHAnsi"/>
          <w:b w:val="0"/>
          <w:bCs w:val="0"/>
          <w:sz w:val="24"/>
          <w:szCs w:val="24"/>
        </w:rPr>
        <w:t xml:space="preserve">NY. Teachers </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r w:rsidRPr="00A55B7A">
        <w:rPr>
          <w:rFonts w:asciiTheme="minorHAnsi" w:hAnsiTheme="minorHAnsi"/>
          <w:b w:val="0"/>
          <w:bCs w:val="0"/>
          <w:sz w:val="24"/>
          <w:szCs w:val="24"/>
        </w:rPr>
        <w:tab/>
        <w:t>College Press.</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p>
    <w:p w:rsidR="00D642E0" w:rsidRPr="00A55B7A" w:rsidRDefault="00D642E0" w:rsidP="00D642E0">
      <w:pPr>
        <w:pStyle w:val="Heading1"/>
        <w:spacing w:before="0" w:beforeAutospacing="0" w:after="0" w:afterAutospacing="0"/>
        <w:rPr>
          <w:rFonts w:asciiTheme="minorHAnsi" w:hAnsiTheme="minorHAnsi"/>
          <w:b w:val="0"/>
          <w:bCs w:val="0"/>
          <w:i/>
          <w:sz w:val="24"/>
          <w:szCs w:val="24"/>
        </w:rPr>
      </w:pPr>
      <w:proofErr w:type="spellStart"/>
      <w:r w:rsidRPr="00A55B7A">
        <w:rPr>
          <w:rFonts w:asciiTheme="minorHAnsi" w:hAnsiTheme="minorHAnsi"/>
          <w:b w:val="0"/>
          <w:bCs w:val="0"/>
          <w:sz w:val="24"/>
          <w:szCs w:val="24"/>
        </w:rPr>
        <w:t>Goswami</w:t>
      </w:r>
      <w:proofErr w:type="spellEnd"/>
      <w:r w:rsidRPr="00A55B7A">
        <w:rPr>
          <w:rFonts w:asciiTheme="minorHAnsi" w:hAnsiTheme="minorHAnsi"/>
          <w:b w:val="0"/>
          <w:bCs w:val="0"/>
          <w:sz w:val="24"/>
          <w:szCs w:val="24"/>
        </w:rPr>
        <w:t xml:space="preserve">, D., Lewis, C., Rutherford, &amp; </w:t>
      </w:r>
      <w:proofErr w:type="spellStart"/>
      <w:r w:rsidRPr="00A55B7A">
        <w:rPr>
          <w:rFonts w:asciiTheme="minorHAnsi" w:hAnsiTheme="minorHAnsi"/>
          <w:b w:val="0"/>
          <w:bCs w:val="0"/>
          <w:sz w:val="24"/>
          <w:szCs w:val="24"/>
        </w:rPr>
        <w:t>Waff</w:t>
      </w:r>
      <w:proofErr w:type="spellEnd"/>
      <w:r w:rsidRPr="00A55B7A">
        <w:rPr>
          <w:rFonts w:asciiTheme="minorHAnsi" w:hAnsiTheme="minorHAnsi"/>
          <w:b w:val="0"/>
          <w:bCs w:val="0"/>
          <w:sz w:val="24"/>
          <w:szCs w:val="24"/>
        </w:rPr>
        <w:t xml:space="preserve">, D. (2009). </w:t>
      </w:r>
      <w:r w:rsidRPr="00A55B7A">
        <w:rPr>
          <w:rFonts w:asciiTheme="minorHAnsi" w:hAnsiTheme="minorHAnsi"/>
          <w:b w:val="0"/>
          <w:bCs w:val="0"/>
          <w:i/>
          <w:sz w:val="24"/>
          <w:szCs w:val="24"/>
        </w:rPr>
        <w:t xml:space="preserve">On teacher inquiry: Approaches to </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r w:rsidRPr="00A55B7A">
        <w:rPr>
          <w:rFonts w:asciiTheme="minorHAnsi" w:hAnsiTheme="minorHAnsi"/>
          <w:b w:val="0"/>
          <w:bCs w:val="0"/>
          <w:i/>
          <w:sz w:val="24"/>
          <w:szCs w:val="24"/>
        </w:rPr>
        <w:tab/>
      </w:r>
      <w:proofErr w:type="gramStart"/>
      <w:r w:rsidRPr="00A55B7A">
        <w:rPr>
          <w:rFonts w:asciiTheme="minorHAnsi" w:hAnsiTheme="minorHAnsi"/>
          <w:b w:val="0"/>
          <w:bCs w:val="0"/>
          <w:i/>
          <w:sz w:val="24"/>
          <w:szCs w:val="24"/>
        </w:rPr>
        <w:t>language</w:t>
      </w:r>
      <w:proofErr w:type="gramEnd"/>
      <w:r w:rsidRPr="00A55B7A">
        <w:rPr>
          <w:rFonts w:asciiTheme="minorHAnsi" w:hAnsiTheme="minorHAnsi"/>
          <w:b w:val="0"/>
          <w:bCs w:val="0"/>
          <w:i/>
          <w:sz w:val="24"/>
          <w:szCs w:val="24"/>
        </w:rPr>
        <w:t xml:space="preserve"> and literacy. </w:t>
      </w:r>
      <w:r w:rsidRPr="00A55B7A">
        <w:rPr>
          <w:rFonts w:asciiTheme="minorHAnsi" w:hAnsiTheme="minorHAnsi"/>
          <w:b w:val="0"/>
          <w:bCs w:val="0"/>
          <w:sz w:val="24"/>
          <w:szCs w:val="24"/>
        </w:rPr>
        <w:t xml:space="preserve">NY: Teachers College Press. </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p>
    <w:p w:rsidR="00D642E0" w:rsidRPr="00A55B7A" w:rsidRDefault="00D642E0" w:rsidP="00D642E0">
      <w:pPr>
        <w:pStyle w:val="Heading1"/>
        <w:spacing w:before="0" w:beforeAutospacing="0" w:after="0" w:afterAutospacing="0"/>
        <w:rPr>
          <w:rFonts w:asciiTheme="minorHAnsi" w:hAnsiTheme="minorHAnsi"/>
          <w:b w:val="0"/>
          <w:bCs w:val="0"/>
          <w:i/>
          <w:sz w:val="24"/>
          <w:szCs w:val="24"/>
        </w:rPr>
      </w:pPr>
      <w:r w:rsidRPr="00A55B7A">
        <w:rPr>
          <w:rFonts w:asciiTheme="minorHAnsi" w:hAnsiTheme="minorHAnsi"/>
          <w:b w:val="0"/>
          <w:bCs w:val="0"/>
          <w:sz w:val="24"/>
          <w:szCs w:val="24"/>
        </w:rPr>
        <w:t xml:space="preserve">Hargreaves, A. (1995). </w:t>
      </w:r>
      <w:r w:rsidRPr="00A55B7A">
        <w:rPr>
          <w:rFonts w:asciiTheme="minorHAnsi" w:hAnsiTheme="minorHAnsi"/>
          <w:b w:val="0"/>
          <w:bCs w:val="0"/>
          <w:i/>
          <w:sz w:val="24"/>
          <w:szCs w:val="24"/>
        </w:rPr>
        <w:t xml:space="preserve">Changing teachers, changing times: Teachers’ work and culture in the </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r w:rsidRPr="00A55B7A">
        <w:rPr>
          <w:rFonts w:asciiTheme="minorHAnsi" w:hAnsiTheme="minorHAnsi"/>
          <w:b w:val="0"/>
          <w:bCs w:val="0"/>
          <w:i/>
          <w:sz w:val="24"/>
          <w:szCs w:val="24"/>
        </w:rPr>
        <w:tab/>
      </w:r>
      <w:proofErr w:type="gramStart"/>
      <w:r w:rsidRPr="00A55B7A">
        <w:rPr>
          <w:rFonts w:asciiTheme="minorHAnsi" w:hAnsiTheme="minorHAnsi"/>
          <w:b w:val="0"/>
          <w:bCs w:val="0"/>
          <w:i/>
          <w:sz w:val="24"/>
          <w:szCs w:val="24"/>
        </w:rPr>
        <w:t>postmodern</w:t>
      </w:r>
      <w:proofErr w:type="gramEnd"/>
      <w:r w:rsidRPr="00A55B7A">
        <w:rPr>
          <w:rFonts w:asciiTheme="minorHAnsi" w:hAnsiTheme="minorHAnsi"/>
          <w:b w:val="0"/>
          <w:bCs w:val="0"/>
          <w:i/>
          <w:sz w:val="24"/>
          <w:szCs w:val="24"/>
        </w:rPr>
        <w:t xml:space="preserve"> age. </w:t>
      </w:r>
      <w:r w:rsidRPr="00A55B7A">
        <w:rPr>
          <w:rFonts w:asciiTheme="minorHAnsi" w:hAnsiTheme="minorHAnsi"/>
          <w:b w:val="0"/>
          <w:sz w:val="24"/>
          <w:szCs w:val="24"/>
        </w:rPr>
        <w:t>NY: Teachers College Press.</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r w:rsidRPr="00A55B7A">
        <w:rPr>
          <w:rFonts w:asciiTheme="minorHAnsi" w:hAnsiTheme="minorHAnsi"/>
          <w:b w:val="0"/>
          <w:bCs w:val="0"/>
          <w:sz w:val="24"/>
          <w:szCs w:val="24"/>
        </w:rPr>
        <w:t xml:space="preserve">Hargreaves, A., &amp; Shirley, D. (2009). </w:t>
      </w:r>
      <w:r w:rsidRPr="00A55B7A">
        <w:rPr>
          <w:rFonts w:asciiTheme="minorHAnsi" w:hAnsiTheme="minorHAnsi"/>
          <w:b w:val="0"/>
          <w:bCs w:val="0"/>
          <w:i/>
          <w:sz w:val="24"/>
          <w:szCs w:val="24"/>
        </w:rPr>
        <w:t xml:space="preserve">The fourth way: The inspiring future for education change. </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r w:rsidRPr="00A55B7A">
        <w:rPr>
          <w:rFonts w:asciiTheme="minorHAnsi" w:hAnsiTheme="minorHAnsi"/>
          <w:b w:val="0"/>
          <w:bCs w:val="0"/>
          <w:sz w:val="24"/>
          <w:szCs w:val="24"/>
        </w:rPr>
        <w:tab/>
        <w:t xml:space="preserve">Thousand Oaks, CA: Corwin Press. </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p>
    <w:p w:rsidR="00D642E0" w:rsidRPr="00A55B7A" w:rsidRDefault="00D642E0" w:rsidP="00D642E0">
      <w:pPr>
        <w:pStyle w:val="Heading1"/>
        <w:spacing w:before="0" w:beforeAutospacing="0" w:after="0" w:afterAutospacing="0"/>
        <w:rPr>
          <w:rFonts w:asciiTheme="minorHAnsi" w:hAnsiTheme="minorHAnsi"/>
          <w:b w:val="0"/>
          <w:bCs w:val="0"/>
          <w:i/>
          <w:sz w:val="24"/>
          <w:szCs w:val="24"/>
        </w:rPr>
      </w:pPr>
      <w:r w:rsidRPr="00A55B7A">
        <w:rPr>
          <w:rFonts w:asciiTheme="minorHAnsi" w:hAnsiTheme="minorHAnsi"/>
          <w:b w:val="0"/>
          <w:bCs w:val="0"/>
          <w:sz w:val="24"/>
          <w:szCs w:val="24"/>
        </w:rPr>
        <w:t xml:space="preserve">Hill-Jackson, V., &amp; Lewis, C. W. (Eds.) (2010). </w:t>
      </w:r>
      <w:r w:rsidRPr="00A55B7A">
        <w:rPr>
          <w:rFonts w:asciiTheme="minorHAnsi" w:hAnsiTheme="minorHAnsi"/>
          <w:b w:val="0"/>
          <w:bCs w:val="0"/>
          <w:i/>
          <w:sz w:val="24"/>
          <w:szCs w:val="24"/>
        </w:rPr>
        <w:t xml:space="preserve"> Transforming teacher education: What went </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r w:rsidRPr="00A55B7A">
        <w:rPr>
          <w:rFonts w:asciiTheme="minorHAnsi" w:hAnsiTheme="minorHAnsi"/>
          <w:b w:val="0"/>
          <w:bCs w:val="0"/>
          <w:i/>
          <w:sz w:val="24"/>
          <w:szCs w:val="24"/>
        </w:rPr>
        <w:tab/>
      </w:r>
      <w:proofErr w:type="gramStart"/>
      <w:r w:rsidRPr="00A55B7A">
        <w:rPr>
          <w:rFonts w:asciiTheme="minorHAnsi" w:hAnsiTheme="minorHAnsi"/>
          <w:b w:val="0"/>
          <w:bCs w:val="0"/>
          <w:i/>
          <w:sz w:val="24"/>
          <w:szCs w:val="24"/>
        </w:rPr>
        <w:t>wrong</w:t>
      </w:r>
      <w:proofErr w:type="gramEnd"/>
      <w:r w:rsidRPr="00A55B7A">
        <w:rPr>
          <w:rFonts w:asciiTheme="minorHAnsi" w:hAnsiTheme="minorHAnsi"/>
          <w:b w:val="0"/>
          <w:bCs w:val="0"/>
          <w:i/>
          <w:sz w:val="24"/>
          <w:szCs w:val="24"/>
        </w:rPr>
        <w:t xml:space="preserve"> with teacher training, and how we can fix it. </w:t>
      </w:r>
      <w:r w:rsidRPr="00A55B7A">
        <w:rPr>
          <w:rFonts w:asciiTheme="minorHAnsi" w:hAnsiTheme="minorHAnsi"/>
          <w:b w:val="0"/>
          <w:bCs w:val="0"/>
          <w:sz w:val="24"/>
          <w:szCs w:val="24"/>
        </w:rPr>
        <w:t>Sterling, VA: Stylus Publishing.</w:t>
      </w:r>
    </w:p>
    <w:p w:rsidR="00D642E0" w:rsidRPr="00A55B7A" w:rsidRDefault="00D642E0" w:rsidP="00D642E0">
      <w:pPr>
        <w:pStyle w:val="Heading1"/>
        <w:spacing w:before="0" w:beforeAutospacing="0" w:after="0" w:afterAutospacing="0"/>
        <w:rPr>
          <w:rFonts w:asciiTheme="minorHAnsi" w:hAnsiTheme="minorHAnsi"/>
          <w:b w:val="0"/>
          <w:bCs w:val="0"/>
          <w:sz w:val="24"/>
          <w:szCs w:val="24"/>
        </w:rPr>
      </w:pPr>
    </w:p>
    <w:p w:rsidR="00D642E0" w:rsidRPr="00A55B7A" w:rsidRDefault="00D642E0" w:rsidP="00D642E0">
      <w:pPr>
        <w:pStyle w:val="Heading1"/>
        <w:spacing w:before="0" w:beforeAutospacing="0" w:after="0" w:afterAutospacing="0"/>
        <w:rPr>
          <w:rFonts w:asciiTheme="minorHAnsi" w:hAnsiTheme="minorHAnsi"/>
          <w:b w:val="0"/>
          <w:bCs w:val="0"/>
          <w:i/>
          <w:sz w:val="24"/>
          <w:szCs w:val="24"/>
        </w:rPr>
      </w:pPr>
      <w:proofErr w:type="spellStart"/>
      <w:r w:rsidRPr="00A55B7A">
        <w:rPr>
          <w:rFonts w:asciiTheme="minorHAnsi" w:hAnsiTheme="minorHAnsi"/>
          <w:b w:val="0"/>
          <w:bCs w:val="0"/>
          <w:sz w:val="24"/>
          <w:szCs w:val="24"/>
        </w:rPr>
        <w:t>Kinchloe</w:t>
      </w:r>
      <w:proofErr w:type="spellEnd"/>
      <w:r w:rsidRPr="00A55B7A">
        <w:rPr>
          <w:rFonts w:asciiTheme="minorHAnsi" w:hAnsiTheme="minorHAnsi"/>
          <w:b w:val="0"/>
          <w:bCs w:val="0"/>
          <w:sz w:val="24"/>
          <w:szCs w:val="24"/>
        </w:rPr>
        <w:t xml:space="preserve">, J. L. (2012). </w:t>
      </w:r>
      <w:r w:rsidRPr="00A55B7A">
        <w:rPr>
          <w:rFonts w:asciiTheme="minorHAnsi" w:hAnsiTheme="minorHAnsi"/>
          <w:b w:val="0"/>
          <w:bCs w:val="0"/>
          <w:i/>
          <w:sz w:val="24"/>
          <w:szCs w:val="24"/>
        </w:rPr>
        <w:t>Teachers as researchers: Qualitative inquiry as a path to empowerment.</w:t>
      </w:r>
    </w:p>
    <w:p w:rsidR="00D642E0" w:rsidRPr="00A55B7A" w:rsidRDefault="00D642E0" w:rsidP="00D642E0">
      <w:pPr>
        <w:pStyle w:val="Heading1"/>
        <w:spacing w:before="0" w:beforeAutospacing="0" w:after="0" w:afterAutospacing="0"/>
        <w:rPr>
          <w:rFonts w:asciiTheme="minorHAnsi" w:hAnsiTheme="minorHAnsi"/>
          <w:sz w:val="24"/>
          <w:szCs w:val="24"/>
        </w:rPr>
      </w:pPr>
      <w:r w:rsidRPr="00A55B7A">
        <w:rPr>
          <w:rFonts w:asciiTheme="minorHAnsi" w:hAnsiTheme="minorHAnsi"/>
          <w:b w:val="0"/>
          <w:bCs w:val="0"/>
          <w:i/>
          <w:sz w:val="24"/>
          <w:szCs w:val="24"/>
        </w:rPr>
        <w:tab/>
      </w:r>
      <w:r w:rsidRPr="00A55B7A">
        <w:rPr>
          <w:rFonts w:asciiTheme="minorHAnsi" w:hAnsiTheme="minorHAnsi"/>
          <w:b w:val="0"/>
          <w:bCs w:val="0"/>
          <w:sz w:val="24"/>
          <w:szCs w:val="24"/>
        </w:rPr>
        <w:t>NY:</w:t>
      </w:r>
      <w:r w:rsidRPr="00A55B7A">
        <w:rPr>
          <w:rFonts w:asciiTheme="minorHAnsi" w:hAnsiTheme="minorHAnsi"/>
          <w:b w:val="0"/>
          <w:bCs w:val="0"/>
          <w:i/>
          <w:sz w:val="24"/>
          <w:szCs w:val="24"/>
        </w:rPr>
        <w:t xml:space="preserve"> </w:t>
      </w:r>
      <w:r w:rsidRPr="00A55B7A">
        <w:rPr>
          <w:rFonts w:asciiTheme="minorHAnsi" w:hAnsiTheme="minorHAnsi"/>
          <w:b w:val="0"/>
          <w:bCs w:val="0"/>
          <w:sz w:val="24"/>
          <w:szCs w:val="24"/>
        </w:rPr>
        <w:t xml:space="preserve">Routledge. </w:t>
      </w:r>
    </w:p>
    <w:p w:rsidR="00D642E0" w:rsidRPr="00A55B7A" w:rsidRDefault="00D642E0" w:rsidP="00D642E0">
      <w:pPr>
        <w:pStyle w:val="default"/>
        <w:rPr>
          <w:rFonts w:asciiTheme="minorHAnsi" w:hAnsiTheme="minorHAnsi"/>
        </w:rPr>
      </w:pPr>
    </w:p>
    <w:p w:rsidR="00D642E0" w:rsidRPr="00A55B7A" w:rsidRDefault="00D642E0" w:rsidP="00D642E0">
      <w:pPr>
        <w:pStyle w:val="default"/>
        <w:rPr>
          <w:rFonts w:asciiTheme="minorHAnsi" w:hAnsiTheme="minorHAnsi"/>
        </w:rPr>
      </w:pPr>
      <w:proofErr w:type="spellStart"/>
      <w:r w:rsidRPr="00A55B7A">
        <w:rPr>
          <w:rFonts w:asciiTheme="minorHAnsi" w:hAnsiTheme="minorHAnsi"/>
        </w:rPr>
        <w:t>LaBoskey</w:t>
      </w:r>
      <w:proofErr w:type="spellEnd"/>
      <w:r w:rsidRPr="00A55B7A">
        <w:rPr>
          <w:rFonts w:asciiTheme="minorHAnsi" w:hAnsiTheme="minorHAnsi"/>
        </w:rPr>
        <w:t xml:space="preserve">, V. K. (1994). </w:t>
      </w:r>
      <w:r w:rsidRPr="00A55B7A">
        <w:rPr>
          <w:rFonts w:asciiTheme="minorHAnsi" w:hAnsiTheme="minorHAnsi"/>
          <w:i/>
        </w:rPr>
        <w:t xml:space="preserve">Development of reflective practice: A study of </w:t>
      </w:r>
      <w:proofErr w:type="spellStart"/>
      <w:r w:rsidRPr="00A55B7A">
        <w:rPr>
          <w:rFonts w:asciiTheme="minorHAnsi" w:hAnsiTheme="minorHAnsi"/>
          <w:i/>
        </w:rPr>
        <w:t>preservice</w:t>
      </w:r>
      <w:proofErr w:type="spellEnd"/>
      <w:r w:rsidRPr="00A55B7A">
        <w:rPr>
          <w:rFonts w:asciiTheme="minorHAnsi" w:hAnsiTheme="minorHAnsi"/>
          <w:i/>
        </w:rPr>
        <w:t xml:space="preserve"> teachers. </w:t>
      </w:r>
    </w:p>
    <w:p w:rsidR="00D642E0" w:rsidRPr="00A55B7A" w:rsidRDefault="00D642E0" w:rsidP="00D642E0">
      <w:pPr>
        <w:pStyle w:val="default"/>
        <w:rPr>
          <w:rFonts w:asciiTheme="minorHAnsi" w:hAnsiTheme="minorHAnsi"/>
        </w:rPr>
      </w:pPr>
      <w:r w:rsidRPr="00A55B7A">
        <w:rPr>
          <w:rFonts w:asciiTheme="minorHAnsi" w:hAnsiTheme="minorHAnsi"/>
        </w:rPr>
        <w:tab/>
        <w:t xml:space="preserve">NY: Teachers College Press. </w:t>
      </w:r>
    </w:p>
    <w:p w:rsidR="00D642E0" w:rsidRPr="00A55B7A" w:rsidRDefault="00D642E0" w:rsidP="00D642E0">
      <w:pPr>
        <w:pStyle w:val="default"/>
        <w:rPr>
          <w:rFonts w:asciiTheme="minorHAnsi" w:hAnsiTheme="minorHAnsi"/>
        </w:rPr>
      </w:pPr>
    </w:p>
    <w:p w:rsidR="00D642E0" w:rsidRPr="00A55B7A" w:rsidRDefault="00D642E0" w:rsidP="00D642E0">
      <w:pPr>
        <w:pStyle w:val="default"/>
        <w:rPr>
          <w:rFonts w:asciiTheme="minorHAnsi" w:hAnsiTheme="minorHAnsi"/>
          <w:i/>
        </w:rPr>
      </w:pPr>
      <w:r w:rsidRPr="00A55B7A">
        <w:rPr>
          <w:rFonts w:asciiTheme="minorHAnsi" w:hAnsiTheme="minorHAnsi"/>
        </w:rPr>
        <w:t xml:space="preserve">Lieberman, A., &amp; Miller, L. (Eds.) (2008). </w:t>
      </w:r>
      <w:r w:rsidRPr="00A55B7A">
        <w:rPr>
          <w:rFonts w:asciiTheme="minorHAnsi" w:hAnsiTheme="minorHAnsi"/>
          <w:i/>
        </w:rPr>
        <w:t xml:space="preserve">Teachers in professional communities: Improving </w:t>
      </w:r>
    </w:p>
    <w:p w:rsidR="00D642E0" w:rsidRPr="00A55B7A" w:rsidRDefault="00D642E0" w:rsidP="00A55B7A">
      <w:pPr>
        <w:pStyle w:val="default"/>
        <w:rPr>
          <w:rFonts w:asciiTheme="minorHAnsi" w:hAnsiTheme="minorHAnsi"/>
        </w:rPr>
      </w:pPr>
      <w:r w:rsidRPr="00A55B7A">
        <w:rPr>
          <w:rFonts w:asciiTheme="minorHAnsi" w:hAnsiTheme="minorHAnsi"/>
          <w:i/>
        </w:rPr>
        <w:tab/>
      </w:r>
      <w:proofErr w:type="gramStart"/>
      <w:r w:rsidRPr="00A55B7A">
        <w:rPr>
          <w:rFonts w:asciiTheme="minorHAnsi" w:hAnsiTheme="minorHAnsi"/>
          <w:i/>
        </w:rPr>
        <w:t>teaching</w:t>
      </w:r>
      <w:proofErr w:type="gramEnd"/>
      <w:r w:rsidRPr="00A55B7A">
        <w:rPr>
          <w:rFonts w:asciiTheme="minorHAnsi" w:hAnsiTheme="minorHAnsi"/>
          <w:i/>
        </w:rPr>
        <w:t xml:space="preserve"> and learning. </w:t>
      </w:r>
      <w:r w:rsidRPr="00A55B7A">
        <w:rPr>
          <w:rFonts w:asciiTheme="minorHAnsi" w:hAnsiTheme="minorHAnsi"/>
        </w:rPr>
        <w:t xml:space="preserve">NY: Teachers College Press. </w:t>
      </w:r>
    </w:p>
    <w:p w:rsidR="00D642E0" w:rsidRPr="00BC6276" w:rsidRDefault="00D642E0" w:rsidP="00D642E0">
      <w:pPr>
        <w:pStyle w:val="default"/>
      </w:pPr>
    </w:p>
    <w:p w:rsidR="00D642E0" w:rsidRDefault="00A55B7A" w:rsidP="00D642E0">
      <w:pPr>
        <w:pStyle w:val="ColorfulList-Accent11"/>
        <w:ind w:left="0"/>
        <w:rPr>
          <w:rFonts w:ascii="Times New Roman" w:hAnsi="Times New Roman"/>
          <w:sz w:val="24"/>
          <w:szCs w:val="24"/>
        </w:rPr>
      </w:pPr>
      <w:r>
        <w:rPr>
          <w:rFonts w:ascii="Times New Roman" w:hAnsi="Times New Roman"/>
          <w:sz w:val="24"/>
          <w:szCs w:val="24"/>
        </w:rPr>
        <w:t>N</w:t>
      </w:r>
      <w:r w:rsidR="00D642E0" w:rsidRPr="00BC6276">
        <w:rPr>
          <w:rFonts w:ascii="Times New Roman" w:hAnsi="Times New Roman"/>
          <w:sz w:val="24"/>
          <w:szCs w:val="24"/>
        </w:rPr>
        <w:t>ovember, A</w:t>
      </w:r>
      <w:r w:rsidR="00792F41">
        <w:rPr>
          <w:rFonts w:ascii="Times New Roman" w:hAnsi="Times New Roman"/>
          <w:sz w:val="24"/>
          <w:szCs w:val="24"/>
        </w:rPr>
        <w:t>.</w:t>
      </w:r>
      <w:r>
        <w:rPr>
          <w:rFonts w:ascii="Times New Roman" w:hAnsi="Times New Roman"/>
          <w:sz w:val="24"/>
          <w:szCs w:val="24"/>
        </w:rPr>
        <w:t xml:space="preserve"> (2010).</w:t>
      </w:r>
      <w:r w:rsidR="00D642E0" w:rsidRPr="00BC6276">
        <w:rPr>
          <w:rFonts w:ascii="Times New Roman" w:hAnsi="Times New Roman"/>
          <w:i/>
          <w:iCs/>
          <w:sz w:val="24"/>
          <w:szCs w:val="24"/>
        </w:rPr>
        <w:t>Empowering students with technology</w:t>
      </w:r>
      <w:r w:rsidR="00D642E0" w:rsidRPr="00BC6276">
        <w:rPr>
          <w:rFonts w:ascii="Times New Roman" w:hAnsi="Times New Roman"/>
          <w:sz w:val="24"/>
          <w:szCs w:val="24"/>
        </w:rPr>
        <w:t xml:space="preserve"> (2nd </w:t>
      </w:r>
      <w:proofErr w:type="gramStart"/>
      <w:r w:rsidR="00D642E0" w:rsidRPr="00BC6276">
        <w:rPr>
          <w:rFonts w:ascii="Times New Roman" w:hAnsi="Times New Roman"/>
          <w:sz w:val="24"/>
          <w:szCs w:val="24"/>
        </w:rPr>
        <w:t>ed</w:t>
      </w:r>
      <w:proofErr w:type="gramEnd"/>
      <w:r>
        <w:rPr>
          <w:rFonts w:ascii="Times New Roman" w:hAnsi="Times New Roman"/>
          <w:sz w:val="24"/>
          <w:szCs w:val="24"/>
        </w:rPr>
        <w:t>.). </w:t>
      </w:r>
      <w:r w:rsidR="00D642E0" w:rsidRPr="00BC6276">
        <w:rPr>
          <w:rFonts w:ascii="Times New Roman" w:hAnsi="Times New Roman"/>
          <w:sz w:val="24"/>
          <w:szCs w:val="24"/>
        </w:rPr>
        <w:t xml:space="preserve">Thousand </w:t>
      </w:r>
      <w:r>
        <w:rPr>
          <w:rFonts w:ascii="Times New Roman" w:hAnsi="Times New Roman"/>
          <w:sz w:val="24"/>
          <w:szCs w:val="24"/>
        </w:rPr>
        <w:t>Oaks, CA;</w:t>
      </w:r>
    </w:p>
    <w:p w:rsidR="00A55B7A" w:rsidRPr="00BC6276" w:rsidRDefault="00A55B7A" w:rsidP="00D642E0">
      <w:pPr>
        <w:pStyle w:val="ColorfulList-Accent11"/>
        <w:ind w:left="0"/>
        <w:rPr>
          <w:rFonts w:ascii="Times New Roman" w:hAnsi="Times New Roman"/>
          <w:sz w:val="24"/>
          <w:szCs w:val="24"/>
        </w:rPr>
      </w:pPr>
      <w:r>
        <w:rPr>
          <w:rFonts w:ascii="Times New Roman" w:hAnsi="Times New Roman"/>
          <w:sz w:val="24"/>
          <w:szCs w:val="24"/>
        </w:rPr>
        <w:tab/>
        <w:t xml:space="preserve">Corwin. </w:t>
      </w:r>
    </w:p>
    <w:p w:rsidR="00D642E0" w:rsidRPr="00BC6276" w:rsidRDefault="00D642E0" w:rsidP="00D642E0">
      <w:pPr>
        <w:pStyle w:val="default"/>
        <w:rPr>
          <w:rStyle w:val="defaultchar1"/>
          <w:i/>
          <w:iCs/>
        </w:rPr>
      </w:pPr>
      <w:proofErr w:type="spellStart"/>
      <w:r w:rsidRPr="00BC6276">
        <w:lastRenderedPageBreak/>
        <w:t>Pelton</w:t>
      </w:r>
      <w:proofErr w:type="spellEnd"/>
      <w:r w:rsidRPr="00BC6276">
        <w:t>, R</w:t>
      </w:r>
      <w:r w:rsidR="00792F41">
        <w:t>.</w:t>
      </w:r>
      <w:r w:rsidRPr="00BC6276">
        <w:t xml:space="preserve"> (2010). </w:t>
      </w:r>
      <w:r w:rsidRPr="00BC6276">
        <w:rPr>
          <w:rStyle w:val="defaultchar1"/>
          <w:i/>
          <w:iCs/>
        </w:rPr>
        <w:t xml:space="preserve">Action Research for Teacher Candidates: Using Classroom Data to </w:t>
      </w:r>
    </w:p>
    <w:p w:rsidR="00D642E0" w:rsidRPr="00BC6276" w:rsidRDefault="00D642E0" w:rsidP="00D642E0">
      <w:pPr>
        <w:pStyle w:val="default"/>
      </w:pPr>
      <w:r w:rsidRPr="00BC6276">
        <w:rPr>
          <w:rStyle w:val="defaultchar1"/>
          <w:i/>
          <w:iCs/>
        </w:rPr>
        <w:tab/>
        <w:t xml:space="preserve">Enhance Instruction. </w:t>
      </w:r>
      <w:r w:rsidRPr="00BC6276">
        <w:t xml:space="preserve">NY: </w:t>
      </w:r>
      <w:proofErr w:type="spellStart"/>
      <w:r w:rsidRPr="00BC6276">
        <w:t>Rowman</w:t>
      </w:r>
      <w:proofErr w:type="spellEnd"/>
      <w:r w:rsidRPr="00BC6276">
        <w:t xml:space="preserve"> &amp; Littlefield Education. Silverman, Rita, </w:t>
      </w:r>
      <w:proofErr w:type="gramStart"/>
      <w:r w:rsidRPr="00BC6276">
        <w:t>et</w:t>
      </w:r>
      <w:proofErr w:type="gramEnd"/>
      <w:r w:rsidRPr="00BC6276">
        <w:t xml:space="preserve">. </w:t>
      </w:r>
      <w:proofErr w:type="gramStart"/>
      <w:r w:rsidRPr="00BC6276">
        <w:t>al</w:t>
      </w:r>
      <w:proofErr w:type="gramEnd"/>
      <w:r w:rsidRPr="00BC6276">
        <w:t xml:space="preserve">. Case </w:t>
      </w:r>
    </w:p>
    <w:p w:rsidR="00D642E0" w:rsidRPr="00BC6276" w:rsidRDefault="00D642E0" w:rsidP="00D642E0">
      <w:pPr>
        <w:pStyle w:val="default"/>
      </w:pPr>
      <w:r w:rsidRPr="00BC6276">
        <w:tab/>
        <w:t xml:space="preserve">Studies for Teacher Problem Solving, 2nd ed. NY: McGraw Hill, 1996. </w:t>
      </w:r>
    </w:p>
    <w:p w:rsidR="00D642E0" w:rsidRPr="00BC6276" w:rsidRDefault="00D642E0" w:rsidP="00D642E0">
      <w:pPr>
        <w:pStyle w:val="default"/>
      </w:pPr>
    </w:p>
    <w:p w:rsidR="00D642E0" w:rsidRPr="00792F41" w:rsidRDefault="00D642E0" w:rsidP="00D642E0">
      <w:pPr>
        <w:autoSpaceDE w:val="0"/>
        <w:autoSpaceDN w:val="0"/>
        <w:adjustRightInd w:val="0"/>
        <w:spacing w:after="0" w:line="240" w:lineRule="auto"/>
        <w:rPr>
          <w:rFonts w:ascii="Times New Roman" w:hAnsi="Times New Roman"/>
          <w:sz w:val="24"/>
          <w:szCs w:val="24"/>
        </w:rPr>
      </w:pPr>
      <w:proofErr w:type="spellStart"/>
      <w:r w:rsidRPr="00792F41">
        <w:rPr>
          <w:rFonts w:ascii="Times New Roman" w:hAnsi="Times New Roman"/>
          <w:sz w:val="24"/>
          <w:szCs w:val="24"/>
        </w:rPr>
        <w:t>Pitton</w:t>
      </w:r>
      <w:proofErr w:type="spellEnd"/>
      <w:r w:rsidRPr="00792F41">
        <w:rPr>
          <w:rFonts w:ascii="Times New Roman" w:hAnsi="Times New Roman"/>
          <w:sz w:val="24"/>
          <w:szCs w:val="24"/>
        </w:rPr>
        <w:t xml:space="preserve">, D.E. (1998).  </w:t>
      </w:r>
      <w:r w:rsidRPr="00792F41">
        <w:rPr>
          <w:rFonts w:ascii="Times New Roman" w:hAnsi="Times New Roman"/>
          <w:i/>
          <w:sz w:val="24"/>
          <w:szCs w:val="24"/>
        </w:rPr>
        <w:t xml:space="preserve">Stories of student teaching:  A case approach to the student teaching </w:t>
      </w:r>
      <w:r w:rsidRPr="00792F41">
        <w:rPr>
          <w:rFonts w:ascii="Times New Roman" w:hAnsi="Times New Roman"/>
          <w:i/>
          <w:sz w:val="24"/>
          <w:szCs w:val="24"/>
        </w:rPr>
        <w:tab/>
        <w:t xml:space="preserve">experience.  </w:t>
      </w:r>
      <w:r w:rsidRPr="00792F41">
        <w:rPr>
          <w:rFonts w:ascii="Times New Roman" w:hAnsi="Times New Roman"/>
          <w:sz w:val="24"/>
          <w:szCs w:val="24"/>
        </w:rPr>
        <w:t xml:space="preserve">Upper Saddle River, New Jersey:  Prentice-Hall, Inc. </w:t>
      </w:r>
    </w:p>
    <w:p w:rsidR="00D642E0" w:rsidRPr="00792F41" w:rsidRDefault="00D642E0" w:rsidP="00792F41">
      <w:pPr>
        <w:pStyle w:val="Normal1"/>
        <w:spacing w:after="0" w:line="240" w:lineRule="atLeast"/>
        <w:rPr>
          <w:rStyle w:val="colorful0020list0020accent00201char1"/>
          <w:rFonts w:ascii="Times New Roman" w:hAnsi="Times New Roman" w:cs="Times New Roman"/>
          <w:sz w:val="24"/>
          <w:szCs w:val="24"/>
        </w:rPr>
      </w:pPr>
    </w:p>
    <w:p w:rsidR="00D642E0" w:rsidRPr="00792F41" w:rsidRDefault="00D642E0" w:rsidP="00D642E0">
      <w:pPr>
        <w:autoSpaceDE w:val="0"/>
        <w:autoSpaceDN w:val="0"/>
        <w:adjustRightInd w:val="0"/>
        <w:spacing w:after="0" w:line="240" w:lineRule="auto"/>
        <w:rPr>
          <w:rFonts w:ascii="Times New Roman" w:hAnsi="Times New Roman"/>
          <w:sz w:val="24"/>
          <w:szCs w:val="24"/>
        </w:rPr>
      </w:pPr>
      <w:r w:rsidRPr="00792F41">
        <w:rPr>
          <w:rFonts w:ascii="Times New Roman" w:hAnsi="Times New Roman"/>
          <w:bCs/>
          <w:sz w:val="24"/>
          <w:szCs w:val="24"/>
        </w:rPr>
        <w:t xml:space="preserve">Wong, H.K. &amp; Wong, R.T. (1998).  </w:t>
      </w:r>
      <w:r w:rsidRPr="00792F41">
        <w:rPr>
          <w:rFonts w:ascii="Times New Roman" w:hAnsi="Times New Roman"/>
          <w:bCs/>
          <w:i/>
          <w:sz w:val="24"/>
          <w:szCs w:val="24"/>
        </w:rPr>
        <w:t xml:space="preserve">The first days of school:  how to be an effective teacher.  </w:t>
      </w:r>
      <w:r w:rsidRPr="00792F41">
        <w:rPr>
          <w:rFonts w:ascii="Times New Roman" w:hAnsi="Times New Roman"/>
          <w:sz w:val="24"/>
          <w:szCs w:val="24"/>
        </w:rPr>
        <w:tab/>
        <w:t>Mountain View, California: Harry K. Wong Publications Inc.</w:t>
      </w:r>
    </w:p>
    <w:p w:rsidR="00D642E0" w:rsidRPr="00792F41" w:rsidRDefault="00D642E0" w:rsidP="00D642E0">
      <w:pPr>
        <w:autoSpaceDE w:val="0"/>
        <w:autoSpaceDN w:val="0"/>
        <w:adjustRightInd w:val="0"/>
        <w:spacing w:after="0" w:line="240" w:lineRule="auto"/>
        <w:rPr>
          <w:rStyle w:val="colorful0020list0020accent00201char1"/>
          <w:rFonts w:ascii="Times New Roman" w:hAnsi="Times New Roman" w:cs="Times New Roman"/>
          <w:sz w:val="24"/>
          <w:szCs w:val="24"/>
        </w:rPr>
      </w:pPr>
    </w:p>
    <w:p w:rsidR="00D642E0" w:rsidRPr="00792F41" w:rsidRDefault="00D642E0" w:rsidP="00D642E0">
      <w:pPr>
        <w:pStyle w:val="colorful0020list0020accent00201"/>
        <w:ind w:left="0"/>
        <w:rPr>
          <w:rFonts w:ascii="Times New Roman" w:hAnsi="Times New Roman" w:cs="Times New Roman"/>
          <w:sz w:val="24"/>
          <w:szCs w:val="24"/>
        </w:rPr>
      </w:pPr>
      <w:proofErr w:type="spellStart"/>
      <w:r w:rsidRPr="00792F41">
        <w:rPr>
          <w:rStyle w:val="colorful0020list0020accent00201char1"/>
          <w:rFonts w:ascii="Times New Roman" w:hAnsi="Times New Roman" w:cs="Times New Roman"/>
          <w:sz w:val="24"/>
          <w:szCs w:val="24"/>
        </w:rPr>
        <w:t>Zemelman</w:t>
      </w:r>
      <w:proofErr w:type="spellEnd"/>
      <w:r w:rsidRPr="00792F41">
        <w:rPr>
          <w:rStyle w:val="colorful0020list0020accent00201char1"/>
          <w:rFonts w:ascii="Times New Roman" w:hAnsi="Times New Roman" w:cs="Times New Roman"/>
          <w:sz w:val="24"/>
          <w:szCs w:val="24"/>
        </w:rPr>
        <w:t xml:space="preserve">, S., Daniels, H., &amp; Hyde, A. (2005) </w:t>
      </w:r>
      <w:r w:rsidRPr="00792F41">
        <w:rPr>
          <w:rStyle w:val="colorful0020list0020accent00201char1"/>
          <w:rFonts w:ascii="Times New Roman" w:hAnsi="Times New Roman" w:cs="Times New Roman"/>
          <w:i/>
          <w:sz w:val="24"/>
          <w:szCs w:val="24"/>
        </w:rPr>
        <w:t xml:space="preserve">Best practice: Today’s standards for teaching </w:t>
      </w:r>
      <w:r w:rsidRPr="00792F41">
        <w:rPr>
          <w:rStyle w:val="colorful0020list0020accent00201char1"/>
          <w:rFonts w:ascii="Times New Roman" w:hAnsi="Times New Roman" w:cs="Times New Roman"/>
          <w:i/>
          <w:sz w:val="24"/>
          <w:szCs w:val="24"/>
        </w:rPr>
        <w:tab/>
        <w:t>and learning in America’s schools (3</w:t>
      </w:r>
      <w:r w:rsidRPr="00792F41">
        <w:rPr>
          <w:rStyle w:val="colorful0020list0020accent00201char1"/>
          <w:rFonts w:ascii="Times New Roman" w:hAnsi="Times New Roman" w:cs="Times New Roman"/>
          <w:i/>
          <w:sz w:val="24"/>
          <w:szCs w:val="24"/>
          <w:vertAlign w:val="superscript"/>
        </w:rPr>
        <w:t>rd</w:t>
      </w:r>
      <w:r w:rsidRPr="00792F41">
        <w:rPr>
          <w:rStyle w:val="colorful0020list0020accent00201char1"/>
          <w:rFonts w:ascii="Times New Roman" w:hAnsi="Times New Roman" w:cs="Times New Roman"/>
          <w:i/>
          <w:sz w:val="24"/>
          <w:szCs w:val="24"/>
        </w:rPr>
        <w:t xml:space="preserve"> Ed.).</w:t>
      </w:r>
      <w:r w:rsidRPr="00792F41">
        <w:rPr>
          <w:rStyle w:val="colorful0020list0020accent00201char1"/>
          <w:rFonts w:ascii="Times New Roman" w:hAnsi="Times New Roman" w:cs="Times New Roman"/>
          <w:sz w:val="24"/>
          <w:szCs w:val="24"/>
        </w:rPr>
        <w:t xml:space="preserve"> Portsmouth, NH: Heinemann. </w:t>
      </w:r>
    </w:p>
    <w:p w:rsidR="00D642E0" w:rsidRPr="00BC6276" w:rsidRDefault="00D642E0" w:rsidP="00D642E0">
      <w:pPr>
        <w:pStyle w:val="default"/>
      </w:pPr>
      <w:r w:rsidRPr="00BC6276">
        <w:rPr>
          <w:rStyle w:val="defaultchar1"/>
          <w:b/>
          <w:bCs/>
        </w:rPr>
        <w:t xml:space="preserve">Internet sites and sources: </w:t>
      </w:r>
    </w:p>
    <w:p w:rsidR="00D642E0" w:rsidRPr="00BC6276" w:rsidRDefault="00D642E0" w:rsidP="00D642E0">
      <w:pPr>
        <w:pStyle w:val="default"/>
      </w:pPr>
      <w:r w:rsidRPr="00BC6276">
        <w:t xml:space="preserve">Texas Education Agency: Action Research </w:t>
      </w:r>
    </w:p>
    <w:p w:rsidR="00D642E0" w:rsidRDefault="00D73B52" w:rsidP="00D642E0">
      <w:pPr>
        <w:pStyle w:val="default"/>
        <w:ind w:firstLine="720"/>
        <w:rPr>
          <w:rStyle w:val="defaultchar1"/>
          <w:u w:val="single"/>
        </w:rPr>
      </w:pPr>
      <w:hyperlink r:id="rId8" w:history="1">
        <w:r w:rsidR="00D642E0" w:rsidRPr="00A4404A">
          <w:rPr>
            <w:rStyle w:val="Hyperlink"/>
          </w:rPr>
          <w:t>http://www.tea.state.tx.us/news_release.aspx?id=2147493577&amp;menu_id=692</w:t>
        </w:r>
      </w:hyperlink>
    </w:p>
    <w:p w:rsidR="00D642E0" w:rsidRPr="00BC6276" w:rsidRDefault="00D642E0" w:rsidP="00D642E0">
      <w:pPr>
        <w:pStyle w:val="default"/>
        <w:ind w:firstLine="720"/>
      </w:pPr>
    </w:p>
    <w:p w:rsidR="00D642E0" w:rsidRPr="00BC6276" w:rsidRDefault="00D642E0" w:rsidP="00D642E0">
      <w:pPr>
        <w:pStyle w:val="default"/>
      </w:pPr>
      <w:r w:rsidRPr="00BC6276">
        <w:t xml:space="preserve">National Board for Professional Teaching Standards </w:t>
      </w:r>
    </w:p>
    <w:p w:rsidR="00D642E0" w:rsidRDefault="00D73B52" w:rsidP="00D642E0">
      <w:pPr>
        <w:pStyle w:val="default"/>
        <w:ind w:left="560"/>
        <w:rPr>
          <w:rStyle w:val="defaultchar1"/>
          <w:u w:val="single"/>
        </w:rPr>
      </w:pPr>
      <w:hyperlink r:id="rId9" w:tgtFrame="_blank" w:history="1">
        <w:r w:rsidR="00D642E0" w:rsidRPr="00BC6276">
          <w:rPr>
            <w:rStyle w:val="hyperlinkchar1"/>
            <w:color w:val="auto"/>
          </w:rPr>
          <w:t>http://www.nbpts.org/nbpts/</w:t>
        </w:r>
      </w:hyperlink>
      <w:r w:rsidR="00D642E0" w:rsidRPr="00BC6276">
        <w:rPr>
          <w:rStyle w:val="defaultchar1"/>
          <w:u w:val="single"/>
        </w:rPr>
        <w:t xml:space="preserve"> </w:t>
      </w:r>
    </w:p>
    <w:p w:rsidR="00D642E0" w:rsidRPr="00BC6276" w:rsidRDefault="00D642E0" w:rsidP="00D642E0">
      <w:pPr>
        <w:pStyle w:val="default"/>
        <w:ind w:left="560"/>
      </w:pPr>
    </w:p>
    <w:p w:rsidR="00D642E0" w:rsidRDefault="00D642E0" w:rsidP="00D642E0">
      <w:pPr>
        <w:pStyle w:val="default"/>
      </w:pPr>
      <w:r w:rsidRPr="00BC6276">
        <w:t xml:space="preserve">The Education and Research Network American Education Research Association </w:t>
      </w:r>
    </w:p>
    <w:p w:rsidR="00D642E0" w:rsidRPr="00BC6276" w:rsidRDefault="00D642E0" w:rsidP="00D642E0">
      <w:pPr>
        <w:pStyle w:val="default"/>
      </w:pPr>
    </w:p>
    <w:p w:rsidR="00D642E0" w:rsidRPr="00BC6276" w:rsidRDefault="00D642E0" w:rsidP="00D642E0">
      <w:pPr>
        <w:pStyle w:val="default"/>
      </w:pPr>
      <w:r w:rsidRPr="00BC6276">
        <w:t xml:space="preserve">Action Research: A Brief Overview </w:t>
      </w:r>
    </w:p>
    <w:p w:rsidR="00D642E0" w:rsidRDefault="00D73B52" w:rsidP="00D642E0">
      <w:pPr>
        <w:pStyle w:val="default"/>
        <w:ind w:left="560"/>
      </w:pPr>
      <w:hyperlink r:id="rId10" w:tgtFrame="_blank" w:history="1">
        <w:r w:rsidR="00D642E0" w:rsidRPr="00BC6276">
          <w:rPr>
            <w:rStyle w:val="hyperlinkchar1"/>
            <w:color w:val="auto"/>
          </w:rPr>
          <w:t>http://users.andara.com/~jnewman/ARoverview.html</w:t>
        </w:r>
      </w:hyperlink>
    </w:p>
    <w:p w:rsidR="00D642E0" w:rsidRPr="00BC6276" w:rsidRDefault="00D642E0" w:rsidP="00A55B7A">
      <w:pPr>
        <w:pStyle w:val="default"/>
      </w:pPr>
    </w:p>
    <w:p w:rsidR="00D642E0" w:rsidRPr="00BC6276" w:rsidRDefault="00D642E0" w:rsidP="00D642E0">
      <w:pPr>
        <w:pStyle w:val="default"/>
      </w:pPr>
      <w:r w:rsidRPr="00BC6276">
        <w:t xml:space="preserve">WEB Links </w:t>
      </w:r>
      <w:proofErr w:type="gramStart"/>
      <w:r w:rsidRPr="00BC6276">
        <w:t>To</w:t>
      </w:r>
      <w:proofErr w:type="gramEnd"/>
      <w:r w:rsidRPr="00BC6276">
        <w:t xml:space="preserve"> Participatory Action Research Sites </w:t>
      </w:r>
    </w:p>
    <w:p w:rsidR="00D642E0" w:rsidRDefault="00D73B52" w:rsidP="00D642E0">
      <w:pPr>
        <w:pStyle w:val="default"/>
        <w:ind w:firstLine="720"/>
      </w:pPr>
      <w:hyperlink r:id="rId11" w:tgtFrame="_blank" w:history="1">
        <w:r w:rsidR="00D642E0" w:rsidRPr="00BC6276">
          <w:rPr>
            <w:rStyle w:val="hyperlinkchar1"/>
            <w:color w:val="auto"/>
          </w:rPr>
          <w:t>http://www.goshen.edu/soan/soan96p.htm</w:t>
        </w:r>
      </w:hyperlink>
    </w:p>
    <w:p w:rsidR="00B2033F" w:rsidRDefault="00B2033F"/>
    <w:p w:rsidR="00C81EED" w:rsidRDefault="00C81EED"/>
    <w:p w:rsidR="00C81EED" w:rsidRDefault="00C81EED">
      <w:r>
        <w:br w:type="page"/>
      </w:r>
    </w:p>
    <w:p w:rsidR="00C81EED" w:rsidRDefault="00C81EED" w:rsidP="00C81EED">
      <w:pPr>
        <w:tabs>
          <w:tab w:val="center" w:pos="4689"/>
        </w:tabs>
        <w:contextualSpacing/>
        <w:jc w:val="both"/>
        <w:rPr>
          <w:noProof/>
        </w:rPr>
      </w:pPr>
    </w:p>
    <w:p w:rsidR="00C81EED" w:rsidRDefault="00C81EED" w:rsidP="00C81EED">
      <w:pPr>
        <w:tabs>
          <w:tab w:val="center" w:pos="4689"/>
        </w:tabs>
        <w:contextualSpacing/>
        <w:jc w:val="both"/>
        <w:rPr>
          <w:noProof/>
        </w:rPr>
      </w:pPr>
    </w:p>
    <w:p w:rsidR="00C81EED" w:rsidRDefault="00C81EED" w:rsidP="00C81EED">
      <w:pPr>
        <w:tabs>
          <w:tab w:val="center" w:pos="4689"/>
        </w:tabs>
        <w:contextualSpacing/>
        <w:jc w:val="both"/>
        <w:rPr>
          <w:noProof/>
        </w:rPr>
      </w:pPr>
    </w:p>
    <w:p w:rsidR="00C81EED" w:rsidRPr="0030751A" w:rsidRDefault="00C81EED" w:rsidP="00C81EED">
      <w:pPr>
        <w:tabs>
          <w:tab w:val="center" w:pos="4689"/>
        </w:tabs>
        <w:contextualSpacing/>
        <w:jc w:val="center"/>
        <w:rPr>
          <w:b/>
          <w:bCs/>
          <w:i/>
          <w:iCs/>
          <w:sz w:val="28"/>
        </w:rPr>
      </w:pPr>
      <w:r>
        <w:rPr>
          <w:noProof/>
        </w:rPr>
        <w:drawing>
          <wp:inline distT="0" distB="0" distL="0" distR="0" wp14:anchorId="63D4848A" wp14:editId="6AED9B24">
            <wp:extent cx="2619375" cy="2466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2466975"/>
                    </a:xfrm>
                    <a:prstGeom prst="rect">
                      <a:avLst/>
                    </a:prstGeom>
                    <a:noFill/>
                    <a:ln>
                      <a:noFill/>
                    </a:ln>
                  </pic:spPr>
                </pic:pic>
              </a:graphicData>
            </a:graphic>
          </wp:inline>
        </w:drawing>
      </w:r>
    </w:p>
    <w:p w:rsidR="00C81EED" w:rsidRPr="0030751A" w:rsidRDefault="00C81EED" w:rsidP="00C81EED">
      <w:pPr>
        <w:tabs>
          <w:tab w:val="center" w:pos="4689"/>
        </w:tabs>
        <w:contextualSpacing/>
        <w:jc w:val="both"/>
        <w:rPr>
          <w:b/>
          <w:bCs/>
          <w:i/>
          <w:iCs/>
          <w:sz w:val="28"/>
        </w:rPr>
      </w:pPr>
    </w:p>
    <w:p w:rsidR="00C81EED" w:rsidRPr="0030751A" w:rsidRDefault="00C81EED" w:rsidP="00C81EED">
      <w:pPr>
        <w:tabs>
          <w:tab w:val="center" w:pos="4689"/>
        </w:tabs>
        <w:contextualSpacing/>
        <w:jc w:val="center"/>
        <w:rPr>
          <w:b/>
          <w:bCs/>
          <w:i/>
          <w:iCs/>
          <w:sz w:val="28"/>
        </w:rPr>
      </w:pPr>
      <w:r w:rsidRPr="0030751A">
        <w:rPr>
          <w:b/>
          <w:bCs/>
          <w:i/>
          <w:iCs/>
          <w:sz w:val="28"/>
        </w:rPr>
        <w:t>The Educator as Agent of Engaged Learning:</w:t>
      </w:r>
    </w:p>
    <w:p w:rsidR="00C81EED" w:rsidRPr="0030751A" w:rsidRDefault="00C81EED" w:rsidP="00C81EED">
      <w:pPr>
        <w:contextualSpacing/>
        <w:jc w:val="both"/>
      </w:pPr>
    </w:p>
    <w:p w:rsidR="00C81EED" w:rsidRPr="004A2770" w:rsidRDefault="00C81EED" w:rsidP="00C81EED">
      <w:pPr>
        <w:contextualSpacing/>
        <w:jc w:val="both"/>
      </w:pPr>
      <w:r w:rsidRPr="004A2770">
        <w:t xml:space="preserve">Improving the quality of education in Texas schools and elsewhere is the goal of programs for the education of educators at the University of North Texas. To achieve this goal, programs leading to teacher certification and advanced programs for educators at the University of North Texas 1) emphasize content, curricular, and pedagogical knowledge acquired through research and informed practice of the academic disciplines, 2) incorporate the Texas Teacher Proficiencies for learner centered education, 3) feature collaboration across the university and with schools and other agencies in the design and delivery of programs, and 4) respond to the rapid demographic, social, and technological change in the United States and the world. </w:t>
      </w:r>
    </w:p>
    <w:p w:rsidR="00C81EED" w:rsidRPr="004A2770" w:rsidRDefault="00C81EED" w:rsidP="00C81EED">
      <w:pPr>
        <w:contextualSpacing/>
        <w:jc w:val="both"/>
      </w:pPr>
    </w:p>
    <w:p w:rsidR="00C81EED" w:rsidRPr="00CB03A8" w:rsidRDefault="00C81EED" w:rsidP="00C81EED">
      <w:pPr>
        <w:rPr>
          <w:color w:val="000000" w:themeColor="text1"/>
        </w:rPr>
      </w:pPr>
      <w:r w:rsidRPr="00201D1F">
        <w:rPr>
          <w:b/>
          <w:color w:val="000000" w:themeColor="text1"/>
        </w:rPr>
        <w:t>The educator as agent of engaged learning</w:t>
      </w:r>
      <w:r w:rsidRPr="00CB03A8">
        <w:rPr>
          <w:color w:val="000000" w:themeColor="text1"/>
        </w:rPr>
        <w:t xml:space="preserve"> summarizes the conceptual framework for UNT's basic and advanced programs. This phrase reflects the directed action that arises from simultaneous commitment to academic knowledge bases and to learner centered practice. "Engaged learning" signifies the deep interaction with worthwhile and appropriate content that occurs for each student in the classrooms of caring and competent educators. "Engaged learning" features the on-going interchange between teacher and student about knowledge and between school and community about what is worth knowing. This conceptual framework recognizes the relationship between UNT and the larger community in promoting the commitment of a diverse citizenry to life-long learning. In our work of developing educators as agents of engaged learning, we value the contributions of professional development schools and other partners and seek collaborations which advance active, meaningful, and continuous learning. </w:t>
      </w:r>
    </w:p>
    <w:p w:rsidR="00C81EED" w:rsidRPr="00CB03A8" w:rsidRDefault="00C81EED" w:rsidP="00C81EED">
      <w:pPr>
        <w:rPr>
          <w:color w:val="000000" w:themeColor="text1"/>
        </w:rPr>
      </w:pPr>
    </w:p>
    <w:p w:rsidR="00C81EED" w:rsidRPr="00CB03A8" w:rsidRDefault="00C81EED" w:rsidP="00C81EED">
      <w:pPr>
        <w:rPr>
          <w:color w:val="000000" w:themeColor="text1"/>
        </w:rPr>
      </w:pPr>
      <w:r w:rsidRPr="00CB03A8">
        <w:rPr>
          <w:color w:val="000000" w:themeColor="text1"/>
        </w:rPr>
        <w:lastRenderedPageBreak/>
        <w:t xml:space="preserve">Seeing the engaged learner at the heart of a community that includes educators in various roles, we have chosen to describe each program of educator preparation at UNT with reference to the following key concepts, which are briefly defined below. </w:t>
      </w:r>
    </w:p>
    <w:p w:rsidR="00C81EED" w:rsidRPr="00CB03A8" w:rsidRDefault="00C81EED" w:rsidP="00C81EED">
      <w:pPr>
        <w:rPr>
          <w:color w:val="000000" w:themeColor="text1"/>
        </w:rPr>
      </w:pPr>
    </w:p>
    <w:p w:rsidR="00C81EED" w:rsidRPr="00CB03A8" w:rsidRDefault="00C81EED" w:rsidP="00C81EED">
      <w:pPr>
        <w:numPr>
          <w:ilvl w:val="0"/>
          <w:numId w:val="7"/>
        </w:numPr>
        <w:spacing w:after="0" w:line="240" w:lineRule="auto"/>
        <w:ind w:left="360"/>
        <w:rPr>
          <w:color w:val="000000" w:themeColor="text1"/>
        </w:rPr>
      </w:pPr>
      <w:r w:rsidRPr="00CB03A8">
        <w:rPr>
          <w:b/>
          <w:color w:val="000000" w:themeColor="text1"/>
        </w:rPr>
        <w:t>Content and curricular knowledge</w:t>
      </w:r>
      <w:r w:rsidRPr="00CB03A8">
        <w:rPr>
          <w:color w:val="000000" w:themeColor="text1"/>
        </w:rPr>
        <w:t xml:space="preserve"> refer to the grounding of the educator in content knowledge and knowledge construction and in making meaningful to learners the content of the PreK-16 curriculum. </w:t>
      </w:r>
    </w:p>
    <w:p w:rsidR="00C81EED" w:rsidRPr="00CB03A8" w:rsidRDefault="00C81EED" w:rsidP="00C81EED">
      <w:pPr>
        <w:numPr>
          <w:ilvl w:val="0"/>
          <w:numId w:val="7"/>
        </w:numPr>
        <w:spacing w:after="0" w:line="240" w:lineRule="auto"/>
        <w:ind w:left="360"/>
        <w:rPr>
          <w:color w:val="000000" w:themeColor="text1"/>
        </w:rPr>
      </w:pPr>
      <w:r w:rsidRPr="00CB03A8">
        <w:rPr>
          <w:b/>
          <w:color w:val="000000" w:themeColor="text1"/>
        </w:rPr>
        <w:t>Knowledge of teaching and assessment</w:t>
      </w:r>
      <w:r w:rsidRPr="00CB03A8">
        <w:rPr>
          <w:color w:val="000000" w:themeColor="text1"/>
        </w:rPr>
        <w:t xml:space="preserve"> refers to the ability of the educator to plan, implement, and assess instruction in ways that consistently engage learners or, in advanced programs, to provide leadership for development of programs that promote engagement of learners. </w:t>
      </w:r>
    </w:p>
    <w:p w:rsidR="00C81EED" w:rsidRPr="00CB03A8" w:rsidRDefault="00C81EED" w:rsidP="00C81EED">
      <w:pPr>
        <w:numPr>
          <w:ilvl w:val="0"/>
          <w:numId w:val="7"/>
        </w:numPr>
        <w:spacing w:after="0" w:line="240" w:lineRule="auto"/>
        <w:ind w:left="360"/>
        <w:rPr>
          <w:color w:val="000000" w:themeColor="text1"/>
        </w:rPr>
      </w:pPr>
      <w:r w:rsidRPr="00CB03A8">
        <w:rPr>
          <w:b/>
          <w:color w:val="000000" w:themeColor="text1"/>
        </w:rPr>
        <w:t>Promotion of equity for all learners</w:t>
      </w:r>
      <w:r w:rsidRPr="00CB03A8">
        <w:rPr>
          <w:color w:val="000000" w:themeColor="text1"/>
        </w:rPr>
        <w:t xml:space="preserve"> refers to the skills and attitudes that enable the educator to advocate for all students within the framework of the school program. </w:t>
      </w:r>
    </w:p>
    <w:p w:rsidR="00C81EED" w:rsidRPr="00CB03A8" w:rsidRDefault="00C81EED" w:rsidP="00C81EED">
      <w:pPr>
        <w:numPr>
          <w:ilvl w:val="0"/>
          <w:numId w:val="7"/>
        </w:numPr>
        <w:spacing w:after="0" w:line="240" w:lineRule="auto"/>
        <w:ind w:left="360"/>
        <w:rPr>
          <w:color w:val="000000" w:themeColor="text1"/>
        </w:rPr>
      </w:pPr>
      <w:r w:rsidRPr="00CB03A8">
        <w:rPr>
          <w:b/>
          <w:color w:val="000000" w:themeColor="text1"/>
        </w:rPr>
        <w:t>Encouragement of diversity</w:t>
      </w:r>
      <w:r w:rsidRPr="00CB03A8">
        <w:rPr>
          <w:color w:val="000000" w:themeColor="text1"/>
        </w:rPr>
        <w:t xml:space="preserve"> refers to the ability of the educator to appreciate and affirm formally and informally the various cultural heritages, unique endowments, learning styles, interests, and needs of learners. </w:t>
      </w:r>
    </w:p>
    <w:p w:rsidR="00C81EED" w:rsidRPr="00CB03A8" w:rsidRDefault="00C81EED" w:rsidP="00C81EED">
      <w:pPr>
        <w:numPr>
          <w:ilvl w:val="0"/>
          <w:numId w:val="7"/>
        </w:numPr>
        <w:spacing w:after="0" w:line="240" w:lineRule="auto"/>
        <w:ind w:left="360"/>
        <w:rPr>
          <w:color w:val="000000" w:themeColor="text1"/>
        </w:rPr>
      </w:pPr>
      <w:r w:rsidRPr="00CB03A8">
        <w:rPr>
          <w:b/>
          <w:color w:val="000000" w:themeColor="text1"/>
        </w:rPr>
        <w:t>Professional communication</w:t>
      </w:r>
      <w:r w:rsidRPr="00CB03A8">
        <w:rPr>
          <w:color w:val="000000" w:themeColor="text1"/>
        </w:rPr>
        <w:t xml:space="preserve"> refers to effective interpersonal and professional oral and written communication that includes appropriate applications of information technology.</w:t>
      </w:r>
    </w:p>
    <w:p w:rsidR="00C81EED" w:rsidRPr="00A55B7A" w:rsidRDefault="00C81EED" w:rsidP="00C81EED">
      <w:pPr>
        <w:numPr>
          <w:ilvl w:val="0"/>
          <w:numId w:val="7"/>
        </w:numPr>
        <w:spacing w:after="0" w:line="240" w:lineRule="auto"/>
        <w:ind w:left="360"/>
        <w:rPr>
          <w:color w:val="000000" w:themeColor="text1"/>
        </w:rPr>
      </w:pPr>
      <w:r w:rsidRPr="00CB03A8">
        <w:rPr>
          <w:b/>
          <w:color w:val="000000" w:themeColor="text1"/>
        </w:rPr>
        <w:t>Engaged professional learning</w:t>
      </w:r>
      <w:r w:rsidRPr="00CB03A8">
        <w:rPr>
          <w:color w:val="000000" w:themeColor="text1"/>
        </w:rPr>
        <w:t xml:space="preserve"> refers to the educator's commitment to ethical practice and to continued learning and professional development.</w:t>
      </w:r>
    </w:p>
    <w:p w:rsidR="00C81EED" w:rsidRPr="00CB03A8" w:rsidRDefault="00C81EED" w:rsidP="00C81EED">
      <w:pPr>
        <w:rPr>
          <w:color w:val="000000" w:themeColor="text1"/>
        </w:rPr>
      </w:pPr>
      <w:r w:rsidRPr="00CB03A8">
        <w:rPr>
          <w:color w:val="000000" w:themeColor="text1"/>
        </w:rPr>
        <w:t xml:space="preserve">Through the experiences required in each UNT program of study, we expect that basic and advanced students will acquire the knowledge, skills, and dispositions appropriate to the educational role for which they are preparing or in which they are developing expertise. </w:t>
      </w:r>
    </w:p>
    <w:p w:rsidR="00C81EED" w:rsidRDefault="00C81EED" w:rsidP="00C81EED">
      <w:pPr>
        <w:rPr>
          <w:color w:val="000000" w:themeColor="text1"/>
        </w:rPr>
      </w:pPr>
      <w:r w:rsidRPr="00CB03A8">
        <w:rPr>
          <w:color w:val="000000" w:themeColor="text1"/>
        </w:rPr>
        <w:t xml:space="preserve">A broad community stands behind and accepts responsibility for every engaged learner. UNT supports the work of PreK-16 communities through basic and advanced programs for professional educators and by promoting public understanding of issues in education. </w:t>
      </w:r>
      <w:bookmarkStart w:id="0" w:name="_GoBack"/>
      <w:bookmarkEnd w:id="0"/>
    </w:p>
    <w:p w:rsidR="00C81EED" w:rsidRPr="00A55B7A" w:rsidRDefault="00C81EED" w:rsidP="00C81EED">
      <w:pPr>
        <w:rPr>
          <w:bCs/>
          <w:color w:val="000000" w:themeColor="text1"/>
        </w:rPr>
      </w:pPr>
      <w:r w:rsidRPr="00D73B52">
        <w:rPr>
          <w:b/>
          <w:bCs/>
          <w:i/>
          <w:color w:val="000000" w:themeColor="text1"/>
        </w:rPr>
        <w:t>Ethical Behavior and Code of Ethics:</w:t>
      </w:r>
      <w:r>
        <w:rPr>
          <w:bCs/>
          <w:i/>
          <w:color w:val="000000" w:themeColor="text1"/>
        </w:rPr>
        <w:t xml:space="preserve"> </w:t>
      </w:r>
      <w:r w:rsidRPr="00CB03A8">
        <w:rPr>
          <w:bCs/>
          <w:color w:val="000000" w:themeColor="text1"/>
        </w:rPr>
        <w:t>The Teacher Education &amp; Administration Department expects that its students will abide by the Code of Ethics and Standard Practices for Texas Educators (Chapter 247 of the Texas Administrative Code</w:t>
      </w:r>
      <w:r>
        <w:rPr>
          <w:bCs/>
          <w:color w:val="000000" w:themeColor="text1"/>
        </w:rPr>
        <w:t xml:space="preserve"> </w:t>
      </w:r>
      <w:r w:rsidRPr="00CB03A8">
        <w:rPr>
          <w:bCs/>
          <w:color w:val="000000" w:themeColor="text1"/>
        </w:rPr>
        <w:t>www.sbec.state.tx.us) and as outlined in Domain IV: Fulfilling Professional Roles and Responsibilities of the Pedagogy and Professional Responsibilities (PPR) Texas Examination of Educator Standards (</w:t>
      </w:r>
      <w:proofErr w:type="spellStart"/>
      <w:r w:rsidRPr="00CB03A8">
        <w:rPr>
          <w:bCs/>
          <w:color w:val="000000" w:themeColor="text1"/>
        </w:rPr>
        <w:t>TExES</w:t>
      </w:r>
      <w:proofErr w:type="spellEnd"/>
      <w:r w:rsidRPr="00CB03A8">
        <w:rPr>
          <w:bCs/>
          <w:color w:val="000000" w:themeColor="text1"/>
        </w:rPr>
        <w:t>); and as also addressed in codes of ethics adopted by professionals in the education field such as the National Education Association (NEA) and the American Federation of Teachers (AFT).</w:t>
      </w:r>
    </w:p>
    <w:p w:rsidR="00C81EED" w:rsidRDefault="00C81EED" w:rsidP="00A55B7A">
      <w:pPr>
        <w:spacing w:after="0"/>
        <w:rPr>
          <w:color w:val="000000" w:themeColor="text1"/>
        </w:rPr>
      </w:pPr>
      <w:r w:rsidRPr="00D73B52">
        <w:rPr>
          <w:b/>
          <w:bCs/>
          <w:i/>
          <w:color w:val="000000" w:themeColor="text1"/>
        </w:rPr>
        <w:t>Submitting Work:</w:t>
      </w:r>
      <w:r>
        <w:rPr>
          <w:bCs/>
          <w:i/>
          <w:color w:val="000000" w:themeColor="text1"/>
        </w:rPr>
        <w:t xml:space="preserve"> </w:t>
      </w:r>
      <w:r w:rsidR="00A55B7A">
        <w:rPr>
          <w:color w:val="000000" w:themeColor="text1"/>
        </w:rPr>
        <w:t xml:space="preserve">The instructor will let you know how to turn in the assignments. Discussion board postings should be completed by Friday at midnight. </w:t>
      </w:r>
      <w:r w:rsidRPr="00CB03A8">
        <w:rPr>
          <w:color w:val="000000" w:themeColor="text1"/>
        </w:rPr>
        <w:t xml:space="preserve"> </w:t>
      </w:r>
      <w:r w:rsidR="00A55B7A">
        <w:rPr>
          <w:color w:val="000000" w:themeColor="text1"/>
        </w:rPr>
        <w:t xml:space="preserve">Responding to group member posts should be done by the following Monday at midnight. </w:t>
      </w:r>
    </w:p>
    <w:p w:rsidR="00A55B7A" w:rsidRPr="00CB03A8" w:rsidRDefault="00A55B7A" w:rsidP="00A55B7A">
      <w:pPr>
        <w:spacing w:after="0"/>
        <w:rPr>
          <w:color w:val="000000" w:themeColor="text1"/>
        </w:rPr>
      </w:pPr>
      <w:r>
        <w:rPr>
          <w:color w:val="000000" w:themeColor="text1"/>
        </w:rPr>
        <w:t xml:space="preserve">Lesson Plans will be sent to </w:t>
      </w:r>
      <w:r w:rsidR="0069773F">
        <w:rPr>
          <w:color w:val="000000" w:themeColor="text1"/>
        </w:rPr>
        <w:t>the instructor’s</w:t>
      </w:r>
      <w:r>
        <w:rPr>
          <w:color w:val="000000" w:themeColor="text1"/>
        </w:rPr>
        <w:t xml:space="preserve"> email --- </w:t>
      </w:r>
      <w:hyperlink r:id="rId13" w:history="1">
        <w:r w:rsidRPr="00D177E4">
          <w:rPr>
            <w:rStyle w:val="Hyperlink"/>
            <w:rFonts w:ascii="Calibri" w:hAnsi="Calibri"/>
          </w:rPr>
          <w:t>carol.wickstrom@unt.edu</w:t>
        </w:r>
      </w:hyperlink>
      <w:r>
        <w:rPr>
          <w:color w:val="000000" w:themeColor="text1"/>
        </w:rPr>
        <w:t xml:space="preserve">. </w:t>
      </w:r>
    </w:p>
    <w:p w:rsidR="008B6F2C" w:rsidRDefault="008B6F2C" w:rsidP="008B6F2C">
      <w:pPr>
        <w:spacing w:after="0"/>
        <w:rPr>
          <w:bCs/>
          <w:color w:val="000000" w:themeColor="text1"/>
        </w:rPr>
      </w:pPr>
      <w:r>
        <w:rPr>
          <w:bCs/>
          <w:color w:val="000000" w:themeColor="text1"/>
        </w:rPr>
        <w:t xml:space="preserve">Action Research Projects will be submitted by the last night of class. You will create a </w:t>
      </w:r>
      <w:proofErr w:type="spellStart"/>
      <w:proofErr w:type="gramStart"/>
      <w:r>
        <w:rPr>
          <w:bCs/>
          <w:color w:val="000000" w:themeColor="text1"/>
        </w:rPr>
        <w:t>powerpoint</w:t>
      </w:r>
      <w:proofErr w:type="spellEnd"/>
      <w:proofErr w:type="gramEnd"/>
      <w:r>
        <w:rPr>
          <w:bCs/>
          <w:color w:val="000000" w:themeColor="text1"/>
        </w:rPr>
        <w:t xml:space="preserve"> to share the work. </w:t>
      </w:r>
    </w:p>
    <w:p w:rsidR="008B6F2C" w:rsidRPr="008B6F2C" w:rsidRDefault="008B6F2C" w:rsidP="008B6F2C">
      <w:pPr>
        <w:spacing w:after="0"/>
        <w:rPr>
          <w:bCs/>
          <w:color w:val="000000" w:themeColor="text1"/>
        </w:rPr>
      </w:pPr>
      <w:proofErr w:type="spellStart"/>
      <w:r>
        <w:rPr>
          <w:bCs/>
          <w:color w:val="000000" w:themeColor="text1"/>
        </w:rPr>
        <w:t>Weebly</w:t>
      </w:r>
      <w:proofErr w:type="spellEnd"/>
      <w:r>
        <w:rPr>
          <w:bCs/>
          <w:color w:val="000000" w:themeColor="text1"/>
        </w:rPr>
        <w:t xml:space="preserve"> sites will be shared the last night of class. </w:t>
      </w:r>
    </w:p>
    <w:p w:rsidR="00C81EED" w:rsidRPr="00D73B52" w:rsidRDefault="00C81EED" w:rsidP="00C81EED">
      <w:pPr>
        <w:rPr>
          <w:color w:val="000000" w:themeColor="text1"/>
        </w:rPr>
      </w:pPr>
      <w:r w:rsidRPr="00D73B52">
        <w:rPr>
          <w:b/>
          <w:bCs/>
          <w:i/>
          <w:color w:val="000000" w:themeColor="text1"/>
        </w:rPr>
        <w:lastRenderedPageBreak/>
        <w:t>Grading and Grade Reporting:</w:t>
      </w:r>
      <w:r>
        <w:rPr>
          <w:bCs/>
          <w:i/>
          <w:color w:val="000000" w:themeColor="text1"/>
        </w:rPr>
        <w:t xml:space="preserve"> </w:t>
      </w:r>
      <w:r w:rsidRPr="00CB03A8">
        <w:rPr>
          <w:color w:val="000000" w:themeColor="text1"/>
        </w:rPr>
        <w:t>Grading rubrics for all assignments can be found on the course Blackboard Learn website with the assignment. Students are encouraged to review the grading rubrics to guide them in successfully completing all assignments.</w:t>
      </w:r>
    </w:p>
    <w:p w:rsidR="00C81EED" w:rsidRPr="00CB03A8" w:rsidRDefault="00C81EED" w:rsidP="00C81EED">
      <w:pPr>
        <w:rPr>
          <w:rFonts w:eastAsia="Times"/>
          <w:bCs/>
          <w:iCs/>
          <w:color w:val="000000" w:themeColor="text1"/>
          <w:szCs w:val="20"/>
        </w:rPr>
      </w:pPr>
      <w:r w:rsidRPr="00D73B52">
        <w:rPr>
          <w:rFonts w:eastAsia="Times"/>
          <w:b/>
          <w:bCs/>
          <w:i/>
          <w:color w:val="000000" w:themeColor="text1"/>
          <w:szCs w:val="20"/>
        </w:rPr>
        <w:t>Writing Policy:</w:t>
      </w:r>
      <w:r>
        <w:rPr>
          <w:rFonts w:eastAsia="Times"/>
          <w:bCs/>
          <w:i/>
          <w:color w:val="000000" w:themeColor="text1"/>
          <w:szCs w:val="20"/>
        </w:rPr>
        <w:t xml:space="preserve"> </w:t>
      </w:r>
      <w:r w:rsidRPr="00CB03A8">
        <w:rPr>
          <w:rFonts w:eastAsia="Times"/>
          <w:bCs/>
          <w:iCs/>
          <w:color w:val="000000" w:themeColor="text1"/>
          <w:szCs w:val="20"/>
        </w:rPr>
        <w:t>Teachers are judged on the accuracy of everything they write, whether it is a letter to parents or an email to a principal or a worksheet for students. Your written products – including, but not limited to, papers, lesson plans, and emails – should include appropriate and accurate spelling, grammar, punctuation, syntax, format, and English usage. You should expect that all assignments will be evaluated on these writing skills, in addition to any other expectations of a particular assignment.</w:t>
      </w:r>
    </w:p>
    <w:p w:rsidR="00C81EED" w:rsidRPr="00CB03A8" w:rsidRDefault="00C81EED" w:rsidP="00C81EED">
      <w:pPr>
        <w:rPr>
          <w:rFonts w:eastAsia="Times"/>
          <w:bCs/>
          <w:iCs/>
          <w:color w:val="000000" w:themeColor="text1"/>
          <w:szCs w:val="20"/>
        </w:rPr>
      </w:pPr>
    </w:p>
    <w:p w:rsidR="00C81EED" w:rsidRPr="00CB03A8" w:rsidRDefault="00C81EED" w:rsidP="00C81EED">
      <w:pPr>
        <w:rPr>
          <w:rFonts w:eastAsia="Times"/>
          <w:bCs/>
          <w:iCs/>
          <w:color w:val="000000" w:themeColor="text1"/>
          <w:szCs w:val="20"/>
        </w:rPr>
      </w:pPr>
      <w:r w:rsidRPr="00D73B52">
        <w:rPr>
          <w:rFonts w:eastAsia="Times"/>
          <w:b/>
          <w:bCs/>
          <w:i/>
          <w:color w:val="000000" w:themeColor="text1"/>
          <w:szCs w:val="20"/>
        </w:rPr>
        <w:t>Written Assignments:</w:t>
      </w:r>
      <w:r>
        <w:rPr>
          <w:rFonts w:eastAsia="Times"/>
          <w:bCs/>
          <w:i/>
          <w:color w:val="000000" w:themeColor="text1"/>
          <w:szCs w:val="20"/>
        </w:rPr>
        <w:t xml:space="preserve"> </w:t>
      </w:r>
      <w:r w:rsidRPr="00CB03A8">
        <w:rPr>
          <w:rFonts w:eastAsia="Times"/>
          <w:bCs/>
          <w:iCs/>
          <w:color w:val="000000" w:themeColor="text1"/>
          <w:szCs w:val="20"/>
        </w:rPr>
        <w:t>All assignments within this course will utilize APA (6</w:t>
      </w:r>
      <w:r w:rsidRPr="00CB03A8">
        <w:rPr>
          <w:rFonts w:eastAsia="Times"/>
          <w:bCs/>
          <w:iCs/>
          <w:color w:val="000000" w:themeColor="text1"/>
          <w:szCs w:val="20"/>
          <w:vertAlign w:val="superscript"/>
        </w:rPr>
        <w:t>th</w:t>
      </w:r>
      <w:r w:rsidRPr="00CB03A8">
        <w:rPr>
          <w:rFonts w:eastAsia="Times"/>
          <w:bCs/>
          <w:iCs/>
          <w:color w:val="000000" w:themeColor="text1"/>
          <w:szCs w:val="20"/>
        </w:rPr>
        <w:t xml:space="preserve"> Ed.) formatting guidelines</w:t>
      </w:r>
      <w:proofErr w:type="gramStart"/>
      <w:r w:rsidRPr="00CB03A8">
        <w:rPr>
          <w:rFonts w:eastAsia="Times"/>
          <w:bCs/>
          <w:iCs/>
          <w:color w:val="000000" w:themeColor="text1"/>
          <w:szCs w:val="20"/>
        </w:rPr>
        <w:t>..</w:t>
      </w:r>
      <w:proofErr w:type="gramEnd"/>
      <w:r w:rsidRPr="00CB03A8">
        <w:rPr>
          <w:rFonts w:eastAsia="Times"/>
          <w:bCs/>
          <w:iCs/>
          <w:color w:val="000000" w:themeColor="text1"/>
          <w:szCs w:val="20"/>
        </w:rPr>
        <w:t xml:space="preserve"> The UNT Writing Lab (Auditorium Building, 105) offers one-on-one consultation to assist students with their writing assignments. To use this resource, call (940) 565-2563 or visit </w:t>
      </w:r>
      <w:hyperlink r:id="rId14" w:history="1">
        <w:r w:rsidRPr="00E17398">
          <w:rPr>
            <w:rStyle w:val="Hyperlink"/>
            <w:rFonts w:eastAsia="Times"/>
            <w:iCs/>
            <w:szCs w:val="20"/>
          </w:rPr>
          <w:t>https://ltc.unt.edu/labs/unt-writing-lab-home</w:t>
        </w:r>
      </w:hyperlink>
      <w:r>
        <w:rPr>
          <w:rFonts w:eastAsia="Times"/>
          <w:bCs/>
          <w:iCs/>
          <w:color w:val="000000" w:themeColor="text1"/>
          <w:szCs w:val="20"/>
        </w:rPr>
        <w:t xml:space="preserve"> </w:t>
      </w:r>
    </w:p>
    <w:p w:rsidR="00C81EED" w:rsidRPr="00CB03A8" w:rsidRDefault="00C81EED" w:rsidP="00C81EED">
      <w:pPr>
        <w:rPr>
          <w:bCs/>
          <w:iCs/>
          <w:color w:val="000000" w:themeColor="text1"/>
        </w:rPr>
      </w:pPr>
    </w:p>
    <w:p w:rsidR="00C81EED" w:rsidRPr="00CB03A8" w:rsidRDefault="00C81EED" w:rsidP="00C81EED">
      <w:pPr>
        <w:jc w:val="center"/>
        <w:rPr>
          <w:color w:val="000000" w:themeColor="text1"/>
        </w:rPr>
      </w:pPr>
      <w:r w:rsidRPr="00CB03A8">
        <w:rPr>
          <w:b/>
          <w:color w:val="000000" w:themeColor="text1"/>
        </w:rPr>
        <w:t>Teacher Education &amp; Administration</w:t>
      </w:r>
    </w:p>
    <w:p w:rsidR="00C81EED" w:rsidRPr="00CB03A8" w:rsidRDefault="00C81EED" w:rsidP="00C81EED">
      <w:pPr>
        <w:jc w:val="center"/>
        <w:rPr>
          <w:b/>
          <w:bCs/>
          <w:i/>
          <w:color w:val="000000" w:themeColor="text1"/>
        </w:rPr>
      </w:pPr>
      <w:r w:rsidRPr="00CB03A8">
        <w:rPr>
          <w:b/>
          <w:bCs/>
          <w:i/>
          <w:color w:val="000000" w:themeColor="text1"/>
        </w:rPr>
        <w:t>Departmental Policy Statements</w:t>
      </w:r>
    </w:p>
    <w:p w:rsidR="00C81EED" w:rsidRPr="00CB03A8" w:rsidRDefault="00C81EED" w:rsidP="00C81EED">
      <w:pPr>
        <w:rPr>
          <w:rFonts w:eastAsia="Verdana"/>
          <w:b/>
          <w:bCs/>
          <w:color w:val="000000" w:themeColor="text1"/>
        </w:rPr>
      </w:pPr>
    </w:p>
    <w:p w:rsidR="00C81EED" w:rsidRPr="005867E3" w:rsidRDefault="00C81EED" w:rsidP="00C81EED">
      <w:r w:rsidRPr="00D73B52">
        <w:rPr>
          <w:b/>
          <w:i/>
        </w:rPr>
        <w:t>Disabilities Accommodation:</w:t>
      </w:r>
      <w:r w:rsidRPr="005867E3">
        <w:rPr>
          <w:i/>
        </w:rPr>
        <w:t xml:space="preserve"> </w:t>
      </w:r>
      <w:r w:rsidRPr="005867E3">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rsidR="00C81EED" w:rsidRPr="005867E3" w:rsidRDefault="00C81EED" w:rsidP="00C81EED">
      <w:r w:rsidRPr="00D73B52">
        <w:rPr>
          <w:b/>
          <w:i/>
        </w:rPr>
        <w:t>Observation of Religious Holidays:</w:t>
      </w:r>
      <w:r w:rsidRPr="005867E3">
        <w:rPr>
          <w:i/>
        </w:rPr>
        <w:t xml:space="preserve">  </w:t>
      </w:r>
      <w:r w:rsidRPr="005867E3">
        <w:t>If you plan to observe a religious holy day that coincides with a class day, please notify your instructor as soon as possible.</w:t>
      </w:r>
    </w:p>
    <w:p w:rsidR="00C81EED" w:rsidRPr="005867E3" w:rsidRDefault="00C81EED" w:rsidP="00C81EED">
      <w:r w:rsidRPr="00D73B52">
        <w:rPr>
          <w:b/>
          <w:i/>
        </w:rPr>
        <w:t>Academic Integrity:</w:t>
      </w:r>
      <w:r w:rsidRPr="005867E3">
        <w:rPr>
          <w:i/>
        </w:rPr>
        <w:t xml:space="preserve"> </w:t>
      </w:r>
      <w:r w:rsidRPr="005867E3">
        <w:t xml:space="preserve">Students are encouraged to become familiar with UNT’s policy on </w:t>
      </w:r>
      <w:r>
        <w:t>Student Standards of A</w:t>
      </w:r>
      <w:r w:rsidRPr="005867E3">
        <w:t xml:space="preserve">cademic </w:t>
      </w:r>
      <w:r>
        <w:t>I</w:t>
      </w:r>
      <w:r w:rsidRPr="005867E3">
        <w:t xml:space="preserve">ntegrity: </w:t>
      </w:r>
      <w:hyperlink r:id="rId15" w:history="1">
        <w:r w:rsidRPr="00E17398">
          <w:rPr>
            <w:rStyle w:val="Hyperlink"/>
          </w:rPr>
          <w:t>http://policy.unt.edu/sites/default/files/untpolicy/pdf/7-Student_Affairs-Academic_Integrity.pdf</w:t>
        </w:r>
      </w:hyperlink>
      <w:r>
        <w:t xml:space="preserve"> </w:t>
      </w:r>
      <w:r w:rsidRPr="005867E3">
        <w:t>Academic dishonesty, in the form of plagiarism, cheating</w:t>
      </w:r>
      <w:r>
        <w:t>,</w:t>
      </w:r>
      <w:r w:rsidRPr="005867E3">
        <w:t xml:space="preserve"> or fabrication, will not be tolerated in this class. Any act of academic dishonesty will be reported, and a penalty determined, which may be probation, suspension, or expulsion from the university. </w:t>
      </w:r>
    </w:p>
    <w:p w:rsidR="00C81EED" w:rsidRPr="005867E3" w:rsidRDefault="00C81EED" w:rsidP="00C81EED"/>
    <w:p w:rsidR="009A2F91" w:rsidRDefault="00C81EED" w:rsidP="009A2F91">
      <w:pPr>
        <w:spacing w:after="0" w:line="240" w:lineRule="auto"/>
        <w:contextualSpacing/>
        <w:rPr>
          <w:color w:val="0000FF"/>
        </w:rPr>
      </w:pPr>
      <w:r w:rsidRPr="00D73B52">
        <w:rPr>
          <w:b/>
          <w:i/>
        </w:rPr>
        <w:lastRenderedPageBreak/>
        <w:t>Acceptable Student Behavior:</w:t>
      </w:r>
      <w:r w:rsidRPr="005867E3">
        <w:rPr>
          <w:i/>
        </w:rPr>
        <w:t xml:space="preserve"> </w:t>
      </w:r>
      <w:r w:rsidRPr="005867E3">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6" w:history="1">
        <w:r w:rsidRPr="00E17398">
          <w:rPr>
            <w:rStyle w:val="Hyperlink"/>
          </w:rPr>
          <w:t>https://deanofstudents.unt.edu/conduct</w:t>
        </w:r>
      </w:hyperlink>
      <w:r>
        <w:t xml:space="preserve"> </w:t>
      </w:r>
    </w:p>
    <w:p w:rsidR="009A2F91" w:rsidRPr="009A2F91" w:rsidRDefault="009A2F91" w:rsidP="009A2F91">
      <w:pPr>
        <w:spacing w:after="0" w:line="240" w:lineRule="auto"/>
        <w:contextualSpacing/>
        <w:rPr>
          <w:color w:val="0000FF"/>
        </w:rPr>
      </w:pPr>
    </w:p>
    <w:p w:rsidR="00D73B52" w:rsidRPr="00D73B52" w:rsidRDefault="00C81EED" w:rsidP="00C81EED">
      <w:pPr>
        <w:rPr>
          <w:i/>
        </w:rPr>
      </w:pPr>
      <w:r w:rsidRPr="00D73B52">
        <w:rPr>
          <w:b/>
          <w:i/>
        </w:rPr>
        <w:t>Attendance:</w:t>
      </w:r>
      <w:r w:rsidR="00D73B52">
        <w:rPr>
          <w:i/>
        </w:rPr>
        <w:t xml:space="preserve"> </w:t>
      </w:r>
      <w:r w:rsidR="00D73B52">
        <w:t xml:space="preserve">Due to the format of the class be prepared to attend all face-to-face sessions and online trainings and respond to as directed on the discussion board. If you need to miss some aspect of the class, you are expected to contact the instructor. Failure to contact the instructor may have negative consequences to your grade. </w:t>
      </w:r>
    </w:p>
    <w:p w:rsidR="00C81EED" w:rsidRPr="009A2F91" w:rsidRDefault="00C81EED" w:rsidP="00C81EED">
      <w:pPr>
        <w:rPr>
          <w:rFonts w:eastAsia="MS Mincho"/>
        </w:rPr>
      </w:pPr>
      <w:r w:rsidRPr="00D73B52">
        <w:rPr>
          <w:rFonts w:eastAsia="MS Mincho"/>
          <w:b/>
          <w:i/>
          <w:iCs/>
        </w:rPr>
        <w:t>Eagle Connect</w:t>
      </w:r>
      <w:r w:rsidRPr="00D73B52">
        <w:rPr>
          <w:rFonts w:eastAsia="MS Mincho"/>
          <w:b/>
        </w:rPr>
        <w:t>:</w:t>
      </w:r>
      <w:r w:rsidRPr="005867E3">
        <w:rPr>
          <w:rFonts w:eastAsia="MS Mincho"/>
        </w:rPr>
        <w:t xml:space="preserve"> All official correspondence between UNT and students is conducted via Eagle Connect and it is the student's responsibility to read their Eagle Connect Email regularly.</w:t>
      </w:r>
    </w:p>
    <w:p w:rsidR="00C81EED" w:rsidRPr="00D73B52" w:rsidRDefault="00C81EED" w:rsidP="00C81EED">
      <w:r w:rsidRPr="00D73B52">
        <w:rPr>
          <w:b/>
          <w:i/>
        </w:rPr>
        <w:t>Cell Phones and Laptop:</w:t>
      </w:r>
      <w:r w:rsidRPr="005867E3">
        <w:rPr>
          <w:i/>
        </w:rPr>
        <w:t xml:space="preserve"> </w:t>
      </w:r>
      <w:r w:rsidRPr="005867E3">
        <w:t xml:space="preserve">Students should </w:t>
      </w:r>
      <w:r w:rsidRPr="009A2F91">
        <w:rPr>
          <w:b/>
        </w:rPr>
        <w:t>turn off cell phones</w:t>
      </w:r>
      <w:r w:rsidRPr="005867E3">
        <w:t xml:space="preserve"> when they are in class unless the phones are being used for learning activities associated with the course.</w:t>
      </w:r>
      <w:r w:rsidR="00D73B52">
        <w:t xml:space="preserve"> Laptops should only be used if it is part of the instructor. In other words, be actively engaged in class. </w:t>
      </w:r>
    </w:p>
    <w:p w:rsidR="00C81EED" w:rsidRPr="005867E3" w:rsidRDefault="00C81EED" w:rsidP="00C81EED">
      <w:pPr>
        <w:rPr>
          <w:color w:val="000000"/>
        </w:rPr>
      </w:pPr>
      <w:r w:rsidRPr="00D73B52">
        <w:rPr>
          <w:b/>
          <w:i/>
          <w:color w:val="000000"/>
        </w:rPr>
        <w:t>SETE:</w:t>
      </w:r>
      <w:r w:rsidRPr="005867E3">
        <w:rPr>
          <w:color w:val="000000"/>
        </w:rPr>
        <w:t xml:space="preserve"> The Student Evaluation of Teaching Effectiveness (SETE) is expected for all organized classes at UNT. This brief online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C81EED" w:rsidRPr="005867E3" w:rsidRDefault="00C81EED" w:rsidP="00C81EED">
      <w:pPr>
        <w:rPr>
          <w:color w:val="000000"/>
        </w:rPr>
      </w:pPr>
      <w:r w:rsidRPr="00D73B52">
        <w:rPr>
          <w:b/>
          <w:i/>
          <w:color w:val="000000"/>
        </w:rPr>
        <w:t>Collection of Student Work</w:t>
      </w:r>
      <w:r w:rsidRPr="00D73B52">
        <w:rPr>
          <w:b/>
          <w:color w:val="000000"/>
        </w:rPr>
        <w:t>:</w:t>
      </w:r>
      <w:r w:rsidRPr="005867E3">
        <w:rPr>
          <w:color w:val="000000"/>
        </w:rPr>
        <w:t xml:space="preserve"> In order to monitor students' achievement, improve instructional programs, and publish research findings, the Department of Teacher Education and Administration collects anonymous student work samples, student demographic information, test scores, and GPAs to be analyzed by internal and external reviewers.</w:t>
      </w:r>
    </w:p>
    <w:p w:rsidR="00C81EED" w:rsidRPr="00D73B52" w:rsidRDefault="00C81EED" w:rsidP="00C81EED">
      <w:pPr>
        <w:rPr>
          <w:bCs/>
          <w:iCs/>
        </w:rPr>
      </w:pPr>
      <w:r w:rsidRPr="00D73B52">
        <w:rPr>
          <w:b/>
          <w:i/>
          <w:color w:val="000000"/>
        </w:rPr>
        <w:t>TK20</w:t>
      </w:r>
      <w:r w:rsidRPr="00D73B52">
        <w:rPr>
          <w:b/>
          <w:color w:val="000000"/>
        </w:rPr>
        <w:t>:</w:t>
      </w:r>
      <w:r w:rsidRPr="005867E3">
        <w:rPr>
          <w:color w:val="000000"/>
        </w:rPr>
        <w:t xml:space="preserve"> </w:t>
      </w:r>
      <w:r w:rsidRPr="005867E3">
        <w:rPr>
          <w:bCs/>
          <w:iCs/>
        </w:rPr>
        <w:t>Some undergraduate and graduate education courses require assignments that must be uploaded and assessed in the UNT TK20 Assessment System. This requires a one-time purchase of TK20, and student subscriptions are effective for seven years from the date of purchase.  Please go to the following link for directions on how to purchase TK20:</w:t>
      </w:r>
      <w:r w:rsidRPr="00C54101">
        <w:t xml:space="preserve"> </w:t>
      </w:r>
      <w:hyperlink r:id="rId17" w:history="1">
        <w:r w:rsidRPr="00E17398">
          <w:rPr>
            <w:rStyle w:val="Hyperlink"/>
            <w:iCs/>
          </w:rPr>
          <w:t>http://www.coe.unt.edu/tk20-campus-tools</w:t>
        </w:r>
      </w:hyperlink>
      <w:r>
        <w:rPr>
          <w:bCs/>
          <w:iCs/>
        </w:rPr>
        <w:t xml:space="preserve"> </w:t>
      </w:r>
      <w:r w:rsidRPr="005867E3">
        <w:rPr>
          <w:bCs/>
          <w:iCs/>
        </w:rPr>
        <w:t>Announcements regarding TK20 will also be posted on this website.</w:t>
      </w:r>
    </w:p>
    <w:p w:rsidR="00C81EED" w:rsidRPr="005867E3" w:rsidRDefault="00C81EED" w:rsidP="00C81EED">
      <w:pPr>
        <w:ind w:right="-720"/>
        <w:contextualSpacing/>
        <w:rPr>
          <w:color w:val="000000"/>
        </w:rPr>
      </w:pPr>
      <w:r w:rsidRPr="00D73B52">
        <w:rPr>
          <w:b/>
          <w:i/>
          <w:color w:val="000000"/>
        </w:rPr>
        <w:t>Comprehensive Arts Program Policy.</w:t>
      </w:r>
      <w:r w:rsidRPr="005867E3">
        <w:rPr>
          <w:i/>
          <w:color w:val="000000"/>
        </w:rPr>
        <w:t xml:space="preserve">  </w:t>
      </w:r>
      <w:r w:rsidRPr="005867E3">
        <w:rPr>
          <w:color w:val="000000"/>
        </w:rPr>
        <w:t xml:space="preserve">The Elementary Education program area supports a comprehensive arts program to assist </w:t>
      </w:r>
      <w:proofErr w:type="spellStart"/>
      <w:r w:rsidRPr="005867E3">
        <w:rPr>
          <w:color w:val="000000"/>
        </w:rPr>
        <w:t>preservice</w:t>
      </w:r>
      <w:proofErr w:type="spellEnd"/>
      <w:r w:rsidRPr="005867E3">
        <w:rPr>
          <w:color w:val="000000"/>
        </w:rPr>
        <w:t xml:space="preserve"> and </w:t>
      </w:r>
      <w:proofErr w:type="spellStart"/>
      <w:r w:rsidRPr="005867E3">
        <w:rPr>
          <w:color w:val="000000"/>
        </w:rPr>
        <w:t>inservice</w:t>
      </w:r>
      <w:proofErr w:type="spellEnd"/>
      <w:r w:rsidRPr="005867E3">
        <w:rPr>
          <w:color w:val="000000"/>
        </w:rPr>
        <w:t xml:space="preserve"> teachers to design and implement curricular and instructional activities which infuse all areas of the arts (visual, music, theater, and movement) throughout the elementary and middle school curriculum.</w:t>
      </w:r>
    </w:p>
    <w:p w:rsidR="00C81EED" w:rsidRPr="005867E3" w:rsidRDefault="00C81EED" w:rsidP="00C81EED">
      <w:pPr>
        <w:contextualSpacing/>
        <w:rPr>
          <w:i/>
          <w:color w:val="000000"/>
        </w:rPr>
      </w:pPr>
    </w:p>
    <w:p w:rsidR="00C81EED" w:rsidRPr="005867E3" w:rsidRDefault="00C81EED" w:rsidP="00C81EED">
      <w:pPr>
        <w:contextualSpacing/>
        <w:rPr>
          <w:color w:val="000000"/>
        </w:rPr>
      </w:pPr>
      <w:r w:rsidRPr="00D73B52">
        <w:rPr>
          <w:b/>
          <w:i/>
          <w:color w:val="000000"/>
        </w:rPr>
        <w:lastRenderedPageBreak/>
        <w:t>Technology Integration Policy.</w:t>
      </w:r>
      <w:r w:rsidRPr="005867E3">
        <w:rPr>
          <w:i/>
          <w:color w:val="000000"/>
        </w:rPr>
        <w:t xml:space="preserve">  </w:t>
      </w:r>
      <w:r w:rsidRPr="005867E3">
        <w:rPr>
          <w:color w:val="000000"/>
        </w:rPr>
        <w:t xml:space="preserve">The Elementary, Secondary, and Curriculum &amp; Instruction program areas support technology integration to assist </w:t>
      </w:r>
      <w:proofErr w:type="spellStart"/>
      <w:r w:rsidRPr="005867E3">
        <w:rPr>
          <w:color w:val="000000"/>
        </w:rPr>
        <w:t>preservice</w:t>
      </w:r>
      <w:proofErr w:type="spellEnd"/>
      <w:r w:rsidRPr="005867E3">
        <w:rPr>
          <w:color w:val="000000"/>
        </w:rPr>
        <w:t xml:space="preserve"> and </w:t>
      </w:r>
      <w:proofErr w:type="spellStart"/>
      <w:r w:rsidRPr="005867E3">
        <w:rPr>
          <w:color w:val="000000"/>
        </w:rPr>
        <w:t>inservice</w:t>
      </w:r>
      <w:proofErr w:type="spellEnd"/>
      <w:r w:rsidRPr="005867E3">
        <w:rPr>
          <w:color w:val="000000"/>
        </w:rPr>
        <w:t xml:space="preserve"> teachers to design and implement curricular and instruction activities which infuse technology throughout the K-12 curriculum.</w:t>
      </w:r>
    </w:p>
    <w:p w:rsidR="00C81EED" w:rsidRPr="00D73B52" w:rsidRDefault="00C81EED" w:rsidP="00C81EED">
      <w:pPr>
        <w:contextualSpacing/>
        <w:rPr>
          <w:b/>
          <w:color w:val="000000"/>
        </w:rPr>
      </w:pPr>
    </w:p>
    <w:p w:rsidR="00C81EED" w:rsidRPr="005867E3" w:rsidRDefault="00C81EED" w:rsidP="00C81EED">
      <w:pPr>
        <w:contextualSpacing/>
        <w:rPr>
          <w:color w:val="000000"/>
        </w:rPr>
      </w:pPr>
      <w:proofErr w:type="spellStart"/>
      <w:r w:rsidRPr="00D73B52">
        <w:rPr>
          <w:b/>
          <w:i/>
          <w:color w:val="000000"/>
        </w:rPr>
        <w:t>TExES</w:t>
      </w:r>
      <w:proofErr w:type="spellEnd"/>
      <w:r w:rsidRPr="00D73B52">
        <w:rPr>
          <w:b/>
          <w:i/>
          <w:color w:val="000000"/>
        </w:rPr>
        <w:t xml:space="preserve"> Test Preparation</w:t>
      </w:r>
      <w:r w:rsidRPr="00D73B52">
        <w:rPr>
          <w:b/>
          <w:color w:val="000000"/>
        </w:rPr>
        <w:t>.</w:t>
      </w:r>
      <w:r w:rsidRPr="005867E3">
        <w:rPr>
          <w:color w:val="000000"/>
        </w:rPr>
        <w:t xml:space="preserve">  To meet state requirements for providing 6 hours of test preparation for teacher certification candidates, the UNT </w:t>
      </w:r>
      <w:proofErr w:type="spellStart"/>
      <w:r w:rsidRPr="005867E3">
        <w:rPr>
          <w:color w:val="000000"/>
        </w:rPr>
        <w:t>TExES</w:t>
      </w:r>
      <w:proofErr w:type="spellEnd"/>
      <w:r w:rsidRPr="005867E3">
        <w:rPr>
          <w:color w:val="000000"/>
        </w:rPr>
        <w:t xml:space="preserve"> Advising Office (TAO) administers the College of Education </w:t>
      </w:r>
      <w:proofErr w:type="spellStart"/>
      <w:r w:rsidRPr="005867E3">
        <w:rPr>
          <w:color w:val="000000"/>
        </w:rPr>
        <w:t>TExES</w:t>
      </w:r>
      <w:proofErr w:type="spellEnd"/>
      <w:r w:rsidRPr="005867E3">
        <w:rPr>
          <w:color w:val="000000"/>
        </w:rPr>
        <w:t xml:space="preserve"> Practice Exams.  Students who want to take a practice exam should contact the TAO (Matthews Hall 103).  Students may take up to </w:t>
      </w:r>
      <w:r w:rsidRPr="005867E3">
        <w:rPr>
          <w:i/>
          <w:color w:val="000000"/>
        </w:rPr>
        <w:t>two exams</w:t>
      </w:r>
      <w:r w:rsidRPr="005867E3">
        <w:rPr>
          <w:color w:val="000000"/>
        </w:rPr>
        <w:t xml:space="preserve"> per session that relate to their teaching track/field at UNT.  Students should also plan accordingly, as they are required to stay for the entire testing period.  Current students must meet the following criteria in order to sit for the </w:t>
      </w:r>
      <w:proofErr w:type="spellStart"/>
      <w:r w:rsidRPr="005867E3">
        <w:rPr>
          <w:color w:val="000000"/>
        </w:rPr>
        <w:t>TExES</w:t>
      </w:r>
      <w:proofErr w:type="spellEnd"/>
      <w:r w:rsidRPr="005867E3">
        <w:rPr>
          <w:color w:val="000000"/>
        </w:rPr>
        <w:t xml:space="preserve"> practice exams:  Students must (1) be admitted to Teacher Education, (2) have a certification plan on file with the COE Student Advising Office, and (3) be enrolled in coursework for the current semester.  For </w:t>
      </w:r>
      <w:proofErr w:type="spellStart"/>
      <w:r w:rsidRPr="005867E3">
        <w:rPr>
          <w:color w:val="000000"/>
        </w:rPr>
        <w:t>TExES</w:t>
      </w:r>
      <w:proofErr w:type="spellEnd"/>
      <w:r w:rsidRPr="005867E3">
        <w:rPr>
          <w:color w:val="000000"/>
        </w:rPr>
        <w:t xml:space="preserve"> practice exam </w:t>
      </w:r>
      <w:r>
        <w:rPr>
          <w:color w:val="000000"/>
        </w:rPr>
        <w:t xml:space="preserve">information and </w:t>
      </w:r>
      <w:r w:rsidRPr="005867E3">
        <w:rPr>
          <w:color w:val="000000"/>
        </w:rPr>
        <w:t xml:space="preserve">registration, go to: </w:t>
      </w:r>
      <w:hyperlink r:id="rId18" w:history="1">
        <w:r w:rsidRPr="00E17398">
          <w:rPr>
            <w:rStyle w:val="Hyperlink"/>
          </w:rPr>
          <w:t>http://www.coe.unt.edu/texes-advising-office/texes-exams</w:t>
        </w:r>
      </w:hyperlink>
      <w:r>
        <w:rPr>
          <w:color w:val="000000"/>
        </w:rPr>
        <w:t xml:space="preserve"> </w:t>
      </w:r>
      <w:r w:rsidRPr="005867E3">
        <w:rPr>
          <w:color w:val="000000"/>
        </w:rPr>
        <w:t xml:space="preserve"> </w:t>
      </w:r>
      <w:proofErr w:type="gramStart"/>
      <w:r w:rsidRPr="005867E3">
        <w:rPr>
          <w:color w:val="000000"/>
        </w:rPr>
        <w:t>If</w:t>
      </w:r>
      <w:proofErr w:type="gramEnd"/>
      <w:r w:rsidRPr="005867E3">
        <w:rPr>
          <w:color w:val="000000"/>
        </w:rPr>
        <w:t xml:space="preserve"> you need special testing accommodations, please contact the TAO at </w:t>
      </w:r>
      <w:r w:rsidRPr="00C54101">
        <w:rPr>
          <w:color w:val="000000"/>
        </w:rPr>
        <w:t>940-369-8601</w:t>
      </w:r>
      <w:r w:rsidRPr="005867E3">
        <w:rPr>
          <w:color w:val="000000"/>
        </w:rPr>
        <w:t xml:space="preserve">or e-mail the TAO at </w:t>
      </w:r>
      <w:hyperlink r:id="rId19" w:history="1">
        <w:r w:rsidRPr="005867E3">
          <w:rPr>
            <w:color w:val="0000FF"/>
            <w:u w:val="single"/>
          </w:rPr>
          <w:t>coe-tao@unt.edu</w:t>
        </w:r>
      </w:hyperlink>
      <w:r w:rsidRPr="005867E3">
        <w:rPr>
          <w:color w:val="000000"/>
        </w:rPr>
        <w:t xml:space="preserve">. The TAO website is </w:t>
      </w:r>
      <w:hyperlink r:id="rId20" w:history="1">
        <w:r w:rsidRPr="005867E3">
          <w:rPr>
            <w:color w:val="0000FF"/>
            <w:u w:val="single"/>
          </w:rPr>
          <w:t>www.coe.unt.edu/texes</w:t>
        </w:r>
      </w:hyperlink>
      <w:r w:rsidRPr="005867E3">
        <w:rPr>
          <w:color w:val="000000"/>
        </w:rPr>
        <w:t xml:space="preserve">. Additional test preparation materials (i.e. Study Guides for the </w:t>
      </w:r>
      <w:proofErr w:type="spellStart"/>
      <w:r w:rsidRPr="005867E3">
        <w:rPr>
          <w:color w:val="000000"/>
        </w:rPr>
        <w:t>TExES</w:t>
      </w:r>
      <w:proofErr w:type="spellEnd"/>
      <w:r w:rsidRPr="005867E3">
        <w:rPr>
          <w:color w:val="000000"/>
        </w:rPr>
        <w:t xml:space="preserve">) are available at </w:t>
      </w:r>
      <w:hyperlink r:id="rId21" w:history="1">
        <w:r w:rsidRPr="00E17398">
          <w:rPr>
            <w:rStyle w:val="Hyperlink"/>
          </w:rPr>
          <w:t>www.texes.ets.org</w:t>
        </w:r>
      </w:hyperlink>
    </w:p>
    <w:p w:rsidR="00C81EED" w:rsidRPr="00D73B52" w:rsidRDefault="00C81EED" w:rsidP="00C81EED">
      <w:pPr>
        <w:contextualSpacing/>
        <w:rPr>
          <w:b/>
          <w:color w:val="000000"/>
        </w:rPr>
      </w:pPr>
    </w:p>
    <w:p w:rsidR="00C81EED" w:rsidRPr="005867E3" w:rsidRDefault="00C81EED" w:rsidP="00C81EED">
      <w:pPr>
        <w:contextualSpacing/>
        <w:rPr>
          <w:color w:val="000000"/>
        </w:rPr>
      </w:pPr>
      <w:r w:rsidRPr="00D73B52">
        <w:rPr>
          <w:b/>
          <w:i/>
          <w:color w:val="000000"/>
        </w:rPr>
        <w:t>“Ready to Test” Criteria for Teacher Certification Candidates</w:t>
      </w:r>
      <w:r w:rsidRPr="00D73B52">
        <w:rPr>
          <w:b/>
          <w:color w:val="000000"/>
        </w:rPr>
        <w:t>.</w:t>
      </w:r>
      <w:r w:rsidRPr="005867E3">
        <w:rPr>
          <w:color w:val="000000"/>
        </w:rPr>
        <w:t xml:space="preserve">  Teacher certification candidates should take the </w:t>
      </w:r>
      <w:proofErr w:type="spellStart"/>
      <w:r w:rsidRPr="005867E3">
        <w:rPr>
          <w:color w:val="000000"/>
        </w:rPr>
        <w:t>TExES</w:t>
      </w:r>
      <w:proofErr w:type="spellEnd"/>
      <w:r w:rsidRPr="005867E3">
        <w:rPr>
          <w:color w:val="000000"/>
        </w:rPr>
        <w:t xml:space="preserve"> exams relating to their respective certification tracks/teaching fields during their early-field-experience semester (i.e. the long semester or summer session immediately prior to student teaching).</w:t>
      </w:r>
    </w:p>
    <w:p w:rsidR="00C81EED" w:rsidRPr="005867E3" w:rsidRDefault="00C81EED" w:rsidP="00C81EED">
      <w:pPr>
        <w:contextualSpacing/>
        <w:rPr>
          <w:color w:val="000000"/>
        </w:rPr>
      </w:pPr>
    </w:p>
    <w:p w:rsidR="00C81EED" w:rsidRPr="00C81EED" w:rsidRDefault="00C81EED">
      <w:pPr>
        <w:contextualSpacing/>
        <w:rPr>
          <w:color w:val="000000"/>
        </w:rPr>
      </w:pPr>
      <w:r w:rsidRPr="00D73B52">
        <w:rPr>
          <w:b/>
          <w:i/>
          <w:color w:val="000000"/>
        </w:rPr>
        <w:t>Six Student Success Messages.</w:t>
      </w:r>
      <w:r w:rsidRPr="005867E3">
        <w:rPr>
          <w:i/>
          <w:color w:val="000000"/>
        </w:rPr>
        <w:t xml:space="preserve">  </w:t>
      </w:r>
      <w:r w:rsidRPr="005867E3">
        <w:rPr>
          <w:color w:val="000000"/>
        </w:rPr>
        <w:t xml:space="preserve">The Department of Teacher Education &amp; Administration supports the six student success messages on how to succeed at UNT:  (1) Show up; (2) Find support; (3) Take control; (4) Be prepared; (5) Get involved; and (6) Be persistent.  Students are encouraged to access the following website:  </w:t>
      </w:r>
      <w:hyperlink r:id="rId22" w:history="1">
        <w:r w:rsidRPr="005867E3">
          <w:rPr>
            <w:color w:val="0000FF"/>
            <w:u w:val="single"/>
          </w:rPr>
          <w:t>https://success.unt.edu</w:t>
        </w:r>
      </w:hyperlink>
      <w:r w:rsidRPr="005867E3">
        <w:rPr>
          <w:color w:val="000000"/>
        </w:rPr>
        <w:t>.  The site contains multiple student resource links and short videos with student messages.</w:t>
      </w:r>
    </w:p>
    <w:sectPr w:rsidR="00C81EED" w:rsidRPr="00C81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5E8A"/>
    <w:multiLevelType w:val="hybridMultilevel"/>
    <w:tmpl w:val="5668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767D"/>
    <w:multiLevelType w:val="hybridMultilevel"/>
    <w:tmpl w:val="614AD12E"/>
    <w:lvl w:ilvl="0" w:tplc="85BA9E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E0F7D4B"/>
    <w:multiLevelType w:val="hybridMultilevel"/>
    <w:tmpl w:val="C27E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A04E6"/>
    <w:multiLevelType w:val="hybridMultilevel"/>
    <w:tmpl w:val="3A74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A6BA9"/>
    <w:multiLevelType w:val="hybridMultilevel"/>
    <w:tmpl w:val="084C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763C2"/>
    <w:multiLevelType w:val="hybridMultilevel"/>
    <w:tmpl w:val="BDE6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07446"/>
    <w:multiLevelType w:val="hybridMultilevel"/>
    <w:tmpl w:val="6E18EDC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E0"/>
    <w:rsid w:val="00084DD1"/>
    <w:rsid w:val="000A2479"/>
    <w:rsid w:val="000C7BFD"/>
    <w:rsid w:val="00195EC9"/>
    <w:rsid w:val="001B1246"/>
    <w:rsid w:val="00242F97"/>
    <w:rsid w:val="00251672"/>
    <w:rsid w:val="002848B6"/>
    <w:rsid w:val="002A2FF8"/>
    <w:rsid w:val="002C5C8F"/>
    <w:rsid w:val="003233A4"/>
    <w:rsid w:val="00383286"/>
    <w:rsid w:val="0038541F"/>
    <w:rsid w:val="003F394F"/>
    <w:rsid w:val="004D04B6"/>
    <w:rsid w:val="00552777"/>
    <w:rsid w:val="00562B9E"/>
    <w:rsid w:val="00570C40"/>
    <w:rsid w:val="00572F03"/>
    <w:rsid w:val="005B3009"/>
    <w:rsid w:val="00673FED"/>
    <w:rsid w:val="0069773F"/>
    <w:rsid w:val="00722D69"/>
    <w:rsid w:val="007605D4"/>
    <w:rsid w:val="00792F41"/>
    <w:rsid w:val="00806C5A"/>
    <w:rsid w:val="00810602"/>
    <w:rsid w:val="00847969"/>
    <w:rsid w:val="00871BAC"/>
    <w:rsid w:val="008A1CAF"/>
    <w:rsid w:val="008B6F2C"/>
    <w:rsid w:val="008C2240"/>
    <w:rsid w:val="00946355"/>
    <w:rsid w:val="009725B6"/>
    <w:rsid w:val="009A2F91"/>
    <w:rsid w:val="009C2A51"/>
    <w:rsid w:val="00A10205"/>
    <w:rsid w:val="00A13091"/>
    <w:rsid w:val="00A55B7A"/>
    <w:rsid w:val="00A667FC"/>
    <w:rsid w:val="00AA48D2"/>
    <w:rsid w:val="00AD79F0"/>
    <w:rsid w:val="00B2033F"/>
    <w:rsid w:val="00B30638"/>
    <w:rsid w:val="00BB0F57"/>
    <w:rsid w:val="00BC4273"/>
    <w:rsid w:val="00C066F2"/>
    <w:rsid w:val="00C30CBC"/>
    <w:rsid w:val="00C66AF8"/>
    <w:rsid w:val="00C81EED"/>
    <w:rsid w:val="00CC6BCF"/>
    <w:rsid w:val="00D642E0"/>
    <w:rsid w:val="00D73B52"/>
    <w:rsid w:val="00DC67BE"/>
    <w:rsid w:val="00E1269A"/>
    <w:rsid w:val="00E80396"/>
    <w:rsid w:val="00F2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690CC-853B-414A-98D1-B9E69F62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2E0"/>
    <w:rPr>
      <w:rFonts w:ascii="Calibri" w:eastAsia="Calibri" w:hAnsi="Calibri" w:cs="Times New Roman"/>
    </w:rPr>
  </w:style>
  <w:style w:type="paragraph" w:styleId="Heading1">
    <w:name w:val="heading 1"/>
    <w:basedOn w:val="Normal"/>
    <w:link w:val="Heading1Char"/>
    <w:uiPriority w:val="9"/>
    <w:qFormat/>
    <w:rsid w:val="00D642E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2E0"/>
    <w:rPr>
      <w:rFonts w:ascii="Times New Roman" w:eastAsia="Times New Roman" w:hAnsi="Times New Roman" w:cs="Times New Roman"/>
      <w:b/>
      <w:bCs/>
      <w:kern w:val="36"/>
      <w:sz w:val="48"/>
      <w:szCs w:val="48"/>
    </w:rPr>
  </w:style>
  <w:style w:type="paragraph" w:customStyle="1" w:styleId="Normal1">
    <w:name w:val="Normal1"/>
    <w:basedOn w:val="Normal"/>
    <w:rsid w:val="00D642E0"/>
    <w:pPr>
      <w:spacing w:line="260" w:lineRule="atLeast"/>
    </w:pPr>
    <w:rPr>
      <w:rFonts w:eastAsia="Times New Roman" w:cs="Calibri"/>
    </w:rPr>
  </w:style>
  <w:style w:type="paragraph" w:customStyle="1" w:styleId="colorful0020list0020accent00201">
    <w:name w:val="colorful_0020list_0020accent_00201"/>
    <w:basedOn w:val="Normal"/>
    <w:rsid w:val="00D642E0"/>
    <w:pPr>
      <w:spacing w:line="260" w:lineRule="atLeast"/>
      <w:ind w:left="720"/>
    </w:pPr>
    <w:rPr>
      <w:rFonts w:eastAsia="Times New Roman" w:cs="Calibri"/>
    </w:rPr>
  </w:style>
  <w:style w:type="paragraph" w:customStyle="1" w:styleId="default">
    <w:name w:val="default"/>
    <w:basedOn w:val="Normal"/>
    <w:rsid w:val="00D642E0"/>
    <w:pPr>
      <w:spacing w:after="0" w:line="240" w:lineRule="auto"/>
    </w:pPr>
    <w:rPr>
      <w:rFonts w:ascii="Times New Roman" w:eastAsia="Times New Roman" w:hAnsi="Times New Roman"/>
      <w:sz w:val="24"/>
      <w:szCs w:val="24"/>
    </w:rPr>
  </w:style>
  <w:style w:type="character" w:customStyle="1" w:styleId="colorful0020list0020accent00201char1">
    <w:name w:val="colorful_0020list_0020accent_00201__char1"/>
    <w:rsid w:val="00D642E0"/>
    <w:rPr>
      <w:rFonts w:ascii="Calibri" w:hAnsi="Calibri" w:cs="Calibri" w:hint="default"/>
      <w:sz w:val="22"/>
      <w:szCs w:val="22"/>
    </w:rPr>
  </w:style>
  <w:style w:type="character" w:customStyle="1" w:styleId="defaultchar1">
    <w:name w:val="default__char1"/>
    <w:rsid w:val="00D642E0"/>
    <w:rPr>
      <w:rFonts w:ascii="Times New Roman" w:hAnsi="Times New Roman" w:cs="Times New Roman" w:hint="default"/>
      <w:sz w:val="24"/>
      <w:szCs w:val="24"/>
    </w:rPr>
  </w:style>
  <w:style w:type="character" w:customStyle="1" w:styleId="normalchar1">
    <w:name w:val="normal__char1"/>
    <w:rsid w:val="00D642E0"/>
    <w:rPr>
      <w:rFonts w:ascii="Calibri" w:hAnsi="Calibri" w:cs="Calibri" w:hint="default"/>
      <w:sz w:val="22"/>
      <w:szCs w:val="22"/>
    </w:rPr>
  </w:style>
  <w:style w:type="character" w:customStyle="1" w:styleId="hyperlinkchar1">
    <w:name w:val="hyperlink__char1"/>
    <w:rsid w:val="00D642E0"/>
    <w:rPr>
      <w:color w:val="0000FF"/>
    </w:rPr>
  </w:style>
  <w:style w:type="character" w:styleId="Hyperlink">
    <w:name w:val="Hyperlink"/>
    <w:uiPriority w:val="99"/>
    <w:unhideWhenUsed/>
    <w:rsid w:val="00D642E0"/>
    <w:rPr>
      <w:rFonts w:ascii="Verdana" w:hAnsi="Verdana" w:hint="default"/>
      <w:color w:val="003399"/>
      <w:u w:val="single"/>
    </w:rPr>
  </w:style>
  <w:style w:type="paragraph" w:customStyle="1" w:styleId="Default0">
    <w:name w:val="Default"/>
    <w:rsid w:val="00D642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lorfulList-Accent11">
    <w:name w:val="Colorful List - Accent 11"/>
    <w:basedOn w:val="Normal"/>
    <w:uiPriority w:val="34"/>
    <w:qFormat/>
    <w:rsid w:val="00D642E0"/>
    <w:pPr>
      <w:ind w:left="720"/>
      <w:contextualSpacing/>
    </w:pPr>
  </w:style>
  <w:style w:type="paragraph" w:styleId="BalloonText">
    <w:name w:val="Balloon Text"/>
    <w:basedOn w:val="Normal"/>
    <w:link w:val="BalloonTextChar"/>
    <w:uiPriority w:val="99"/>
    <w:semiHidden/>
    <w:unhideWhenUsed/>
    <w:rsid w:val="001B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46"/>
    <w:rPr>
      <w:rFonts w:ascii="Tahoma" w:eastAsia="Calibri" w:hAnsi="Tahoma" w:cs="Tahoma"/>
      <w:sz w:val="16"/>
      <w:szCs w:val="16"/>
    </w:rPr>
  </w:style>
  <w:style w:type="table" w:styleId="TableGrid">
    <w:name w:val="Table Grid"/>
    <w:basedOn w:val="TableNormal"/>
    <w:uiPriority w:val="59"/>
    <w:rsid w:val="001B12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4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news_release.aspx?id=2147493577&amp;menu_id=692" TargetMode="External"/><Relationship Id="rId13" Type="http://schemas.openxmlformats.org/officeDocument/2006/relationships/hyperlink" Target="mailto:carol.wickstrom@unt.edu" TargetMode="External"/><Relationship Id="rId18" Type="http://schemas.openxmlformats.org/officeDocument/2006/relationships/hyperlink" Target="http://www.coe.unt.edu/texes-advising-office/texes-exams" TargetMode="External"/><Relationship Id="rId3" Type="http://schemas.openxmlformats.org/officeDocument/2006/relationships/settings" Target="settings.xml"/><Relationship Id="rId21" Type="http://schemas.openxmlformats.org/officeDocument/2006/relationships/hyperlink" Target="http://www.texes.ets.org" TargetMode="External"/><Relationship Id="rId7" Type="http://schemas.openxmlformats.org/officeDocument/2006/relationships/hyperlink" Target="http://www.weebly.com" TargetMode="External"/><Relationship Id="rId12" Type="http://schemas.openxmlformats.org/officeDocument/2006/relationships/image" Target="media/image2.emf"/><Relationship Id="rId17" Type="http://schemas.openxmlformats.org/officeDocument/2006/relationships/hyperlink" Target="http://www.coe.unt.edu/tk20-campus-tools" TargetMode="External"/><Relationship Id="rId2" Type="http://schemas.openxmlformats.org/officeDocument/2006/relationships/styles" Target="styles.xml"/><Relationship Id="rId16" Type="http://schemas.openxmlformats.org/officeDocument/2006/relationships/hyperlink" Target="https://deanofstudents.unt.edu/conduct" TargetMode="External"/><Relationship Id="rId20" Type="http://schemas.openxmlformats.org/officeDocument/2006/relationships/hyperlink" Target="http://www.coe.unt.edu/texes" TargetMode="External"/><Relationship Id="rId1" Type="http://schemas.openxmlformats.org/officeDocument/2006/relationships/numbering" Target="numbering.xml"/><Relationship Id="rId6" Type="http://schemas.openxmlformats.org/officeDocument/2006/relationships/hyperlink" Target="mailto:Carol.wickstrom@unt.edu" TargetMode="External"/><Relationship Id="rId11" Type="http://schemas.openxmlformats.org/officeDocument/2006/relationships/hyperlink" Target="https://webmail.unt.edu/OWA/redir.aspx?C=6d316555c91b4ef98f81fe52d7a2cf73&amp;URL=http%3a%2f%2fwww.goshen.edu%2fsoan%2fsoan96p.ht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policy.unt.edu/sites/default/files/untpolicy/pdf/7-Student_Affairs-Academic_Integrity.pdf" TargetMode="External"/><Relationship Id="rId23" Type="http://schemas.openxmlformats.org/officeDocument/2006/relationships/fontTable" Target="fontTable.xml"/><Relationship Id="rId10" Type="http://schemas.openxmlformats.org/officeDocument/2006/relationships/hyperlink" Target="https://webmail.unt.edu/OWA/redir.aspx?C=6d316555c91b4ef98f81fe52d7a2cf73&amp;URL=http%3a%2f%2fusers.andara.com%2f%7ejnewman%2fARoverview.html" TargetMode="External"/><Relationship Id="rId19" Type="http://schemas.openxmlformats.org/officeDocument/2006/relationships/hyperlink" Target="mailto:coe-tao@unt.edu" TargetMode="External"/><Relationship Id="rId4" Type="http://schemas.openxmlformats.org/officeDocument/2006/relationships/webSettings" Target="webSettings.xml"/><Relationship Id="rId9" Type="http://schemas.openxmlformats.org/officeDocument/2006/relationships/hyperlink" Target="https://webmail.unt.edu/OWA/redir.aspx?C=6d316555c91b4ef98f81fe52d7a2cf73&amp;URL=http%3a%2f%2fwww.nbpts.org%2fnbpts%2f" TargetMode="External"/><Relationship Id="rId14" Type="http://schemas.openxmlformats.org/officeDocument/2006/relationships/hyperlink" Target="https://ltc.unt.edu/labs/unt-writing-lab-home" TargetMode="External"/><Relationship Id="rId22" Type="http://schemas.openxmlformats.org/officeDocument/2006/relationships/hyperlink" Target="https://success.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Wickstrom, Carol</dc:creator>
  <cp:lastModifiedBy>abn0001</cp:lastModifiedBy>
  <cp:revision>2</cp:revision>
  <dcterms:created xsi:type="dcterms:W3CDTF">2015-01-17T03:22:00Z</dcterms:created>
  <dcterms:modified xsi:type="dcterms:W3CDTF">2015-01-17T03:22:00Z</dcterms:modified>
</cp:coreProperties>
</file>