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AF" w:rsidRDefault="00E029AF">
      <w:pPr>
        <w:pStyle w:val="Default"/>
      </w:pPr>
    </w:p>
    <w:p w:rsidR="00E029AF" w:rsidRPr="001A4D31" w:rsidRDefault="006D5943" w:rsidP="001A4D31">
      <w:pPr>
        <w:pStyle w:val="Default"/>
        <w:jc w:val="center"/>
        <w:rPr>
          <w:sz w:val="28"/>
          <w:szCs w:val="28"/>
        </w:rPr>
      </w:pPr>
      <w:r w:rsidRPr="001A4D31">
        <w:rPr>
          <w:sz w:val="28"/>
          <w:szCs w:val="28"/>
        </w:rPr>
        <w:t>DRUGS, CRIME and SOCIETY</w:t>
      </w:r>
    </w:p>
    <w:p w:rsidR="00E029AF" w:rsidRPr="001A4D31" w:rsidRDefault="006D5943" w:rsidP="001A4D31">
      <w:pPr>
        <w:pStyle w:val="Default"/>
        <w:jc w:val="center"/>
        <w:rPr>
          <w:sz w:val="28"/>
          <w:szCs w:val="28"/>
        </w:rPr>
      </w:pPr>
      <w:r w:rsidRPr="001A4D31">
        <w:rPr>
          <w:sz w:val="28"/>
          <w:szCs w:val="28"/>
        </w:rPr>
        <w:t>CJUS/SOCI 3630</w:t>
      </w:r>
    </w:p>
    <w:p w:rsidR="00E029AF" w:rsidRDefault="00E029AF">
      <w:pPr>
        <w:pStyle w:val="Default"/>
        <w:rPr>
          <w:sz w:val="23"/>
          <w:szCs w:val="23"/>
        </w:rPr>
      </w:pPr>
    </w:p>
    <w:p w:rsidR="001A4D31" w:rsidRPr="001A4D31" w:rsidRDefault="001A4D31">
      <w:pPr>
        <w:pStyle w:val="Default"/>
      </w:pPr>
    </w:p>
    <w:p w:rsidR="00E029AF" w:rsidRPr="001A4D31" w:rsidRDefault="006D5943">
      <w:pPr>
        <w:pStyle w:val="Default"/>
      </w:pPr>
      <w:r w:rsidRPr="001A4D31">
        <w:t xml:space="preserve"> </w:t>
      </w:r>
    </w:p>
    <w:p w:rsidR="00E029AF" w:rsidRPr="001A4D31" w:rsidRDefault="001A4D31">
      <w:pPr>
        <w:pStyle w:val="Default"/>
      </w:pPr>
      <w:r>
        <w:t xml:space="preserve">Professor </w:t>
      </w:r>
      <w:r w:rsidR="006D5943" w:rsidRPr="001A4D31">
        <w:t xml:space="preserve">Peter Johnstone PhD. </w:t>
      </w:r>
    </w:p>
    <w:p w:rsidR="00E029AF" w:rsidRPr="001A4D31" w:rsidRDefault="006D5943">
      <w:pPr>
        <w:pStyle w:val="Default"/>
      </w:pPr>
      <w:r w:rsidRPr="001A4D31">
        <w:t xml:space="preserve">Chilton Hall 289J </w:t>
      </w:r>
    </w:p>
    <w:p w:rsidR="00E029AF" w:rsidRPr="001A4D31" w:rsidRDefault="006D5943">
      <w:pPr>
        <w:pStyle w:val="Default"/>
      </w:pPr>
      <w:r w:rsidRPr="001A4D31">
        <w:t xml:space="preserve">940 369 8868 </w:t>
      </w:r>
    </w:p>
    <w:p w:rsidR="00E029AF" w:rsidRPr="001A4D31" w:rsidRDefault="006D5943">
      <w:pPr>
        <w:pStyle w:val="Default"/>
      </w:pPr>
      <w:r w:rsidRPr="001A4D31">
        <w:t xml:space="preserve"> </w:t>
      </w:r>
    </w:p>
    <w:p w:rsidR="00E029AF" w:rsidRPr="001A4D31" w:rsidRDefault="00151B39">
      <w:pPr>
        <w:pStyle w:val="Default"/>
      </w:pPr>
      <w:hyperlink r:id="rId6" w:history="1">
        <w:r w:rsidR="006D5943" w:rsidRPr="001A4D31">
          <w:rPr>
            <w:color w:val="0000FF"/>
          </w:rPr>
          <w:t>pjohnstone@unt.edu</w:t>
        </w:r>
      </w:hyperlink>
      <w:r w:rsidR="006D5943"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Office Hours: </w:t>
      </w:r>
      <w:r w:rsidR="00B60398">
        <w:t>By appointment</w:t>
      </w:r>
      <w:r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Final Exam: </w:t>
      </w:r>
      <w:r w:rsidR="00B60398">
        <w:t>T.B.A.</w:t>
      </w:r>
    </w:p>
    <w:p w:rsidR="00E029AF" w:rsidRPr="001A4D31" w:rsidRDefault="006D5943">
      <w:pPr>
        <w:pStyle w:val="Default"/>
      </w:pPr>
      <w:r w:rsidRPr="001A4D31">
        <w:t xml:space="preserve"> </w:t>
      </w:r>
    </w:p>
    <w:p w:rsidR="00B60398" w:rsidRDefault="00B60398">
      <w:pPr>
        <w:pStyle w:val="Default"/>
      </w:pPr>
    </w:p>
    <w:p w:rsidR="00E029AF" w:rsidRPr="001A4D31" w:rsidRDefault="006D5943">
      <w:pPr>
        <w:pStyle w:val="Default"/>
      </w:pPr>
      <w:r w:rsidRPr="001A4D31">
        <w:t xml:space="preserve">Course Description: This course examines the relationship between drugs, crime and human behavior. It explores the relationship between drug abuse and crime and the policy proposals developed to control drug trafficking, drug abuse, and drug-related crime, as well as the multi-faceted aspects and effects of chemical abuse and dependency. </w:t>
      </w: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Course Objectives: Upon successful completion of this course students will be able to: </w:t>
      </w:r>
    </w:p>
    <w:p w:rsidR="00E029AF" w:rsidRPr="001A4D31" w:rsidRDefault="006D5943">
      <w:pPr>
        <w:pStyle w:val="Default"/>
      </w:pPr>
      <w:r w:rsidRPr="001A4D31">
        <w:t xml:space="preserve">  </w:t>
      </w:r>
    </w:p>
    <w:p w:rsidR="00E029AF" w:rsidRPr="001A4D31" w:rsidRDefault="006D5943">
      <w:pPr>
        <w:pStyle w:val="Default"/>
        <w:spacing w:after="37"/>
      </w:pPr>
      <w:r w:rsidRPr="001A4D31">
        <w:t xml:space="preserve"> Demonstrate a working understanding of the history of substance abuse and the various types of drugs abused  </w:t>
      </w:r>
    </w:p>
    <w:p w:rsidR="00E029AF" w:rsidRPr="001A4D31" w:rsidRDefault="006D5943">
      <w:pPr>
        <w:pStyle w:val="Default"/>
        <w:spacing w:after="37"/>
      </w:pPr>
      <w:r w:rsidRPr="001A4D31">
        <w:t xml:space="preserve"> Articulate an understanding of the national and international illicit drug trade and the relationship between the drug trade and organized crime </w:t>
      </w:r>
    </w:p>
    <w:p w:rsidR="00E029AF" w:rsidRPr="001A4D31" w:rsidRDefault="006D5943">
      <w:pPr>
        <w:pStyle w:val="Default"/>
        <w:spacing w:after="37"/>
      </w:pPr>
      <w:r w:rsidRPr="001A4D31">
        <w:t xml:space="preserve"> Evaluate the work of enforcement organizations in combating drug trafficking </w:t>
      </w:r>
    </w:p>
    <w:p w:rsidR="00E029AF" w:rsidRPr="001A4D31" w:rsidRDefault="006D5943">
      <w:pPr>
        <w:pStyle w:val="Default"/>
      </w:pPr>
      <w:r w:rsidRPr="001A4D31">
        <w:t xml:space="preserve"> Analyze the success of drug control programs, the treatment of addiction and prevention strategies aimed at preventing substance abuse </w:t>
      </w:r>
    </w:p>
    <w:p w:rsidR="00E029AF" w:rsidRPr="001A4D31" w:rsidRDefault="00E029AF">
      <w:pPr>
        <w:pStyle w:val="Default"/>
      </w:pP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E029AF" w:rsidRPr="001A4D31" w:rsidRDefault="006D5943">
      <w:pPr>
        <w:pStyle w:val="Default"/>
      </w:pPr>
      <w:r w:rsidRPr="001A4D31">
        <w:t xml:space="preserve">In addition to the formal learning outcomes there is a bigger issue, that issue is developing creative people. It is my intention that during this course you will gain the confidence to do really well. A university education is not about trying to mold </w:t>
      </w:r>
    </w:p>
    <w:p w:rsidR="00E029AF" w:rsidRPr="001A4D31" w:rsidRDefault="006D5943">
      <w:pPr>
        <w:pStyle w:val="Default"/>
        <w:pageBreakBefore/>
      </w:pPr>
      <w:r w:rsidRPr="001A4D31">
        <w:lastRenderedPageBreak/>
        <w:t xml:space="preserve">you it is the reverse; it is about trying to help you escape a mold. What you bring to the class is yourself and your desire to participate. </w:t>
      </w:r>
    </w:p>
    <w:p w:rsidR="00E029AF" w:rsidRPr="001A4D31" w:rsidRDefault="006D5943">
      <w:pPr>
        <w:pStyle w:val="Default"/>
      </w:pPr>
      <w:r w:rsidRPr="001A4D31">
        <w:t xml:space="preserve"> </w:t>
      </w:r>
    </w:p>
    <w:p w:rsidR="00E029AF" w:rsidRPr="001A4D31" w:rsidRDefault="006D5943">
      <w:pPr>
        <w:pStyle w:val="Default"/>
      </w:pPr>
      <w:r w:rsidRPr="001A4D31">
        <w:t xml:space="preserve">“The capacity to think about one’s thinking -to ponder metacognitively- and to correct it in progress is far more worthy than remembering any name, date, or number”. (Bain, K., </w:t>
      </w:r>
      <w:r w:rsidRPr="001A4D31">
        <w:rPr>
          <w:i/>
          <w:iCs/>
        </w:rPr>
        <w:t>What The Best College Teachers Do</w:t>
      </w:r>
      <w:r w:rsidRPr="001A4D31">
        <w:t xml:space="preserve">, Harvard University Press, Cambridge, Massachusetts, 2004, pp.95). </w:t>
      </w:r>
    </w:p>
    <w:p w:rsidR="00E029AF" w:rsidRPr="001A4D31" w:rsidRDefault="006D5943">
      <w:pPr>
        <w:pStyle w:val="Default"/>
      </w:pPr>
      <w:r w:rsidRPr="001A4D31">
        <w:t xml:space="preserve"> </w:t>
      </w:r>
    </w:p>
    <w:p w:rsidR="00E029AF" w:rsidRPr="001A4D31" w:rsidRDefault="006D5943">
      <w:pPr>
        <w:pStyle w:val="Default"/>
      </w:pPr>
      <w:r w:rsidRPr="001A4D31">
        <w:t xml:space="preserve">The decision to take this course is yours. Once you have made that decision you are responsible to every other course participant in the community of learners that makes up this class. </w:t>
      </w:r>
    </w:p>
    <w:p w:rsidR="00E029AF" w:rsidRPr="001A4D31" w:rsidRDefault="006D5943">
      <w:pPr>
        <w:pStyle w:val="Default"/>
      </w:pPr>
      <w:r w:rsidRPr="001A4D31">
        <w:t xml:space="preserve"> </w:t>
      </w:r>
    </w:p>
    <w:p w:rsidR="00D74130" w:rsidRDefault="00D74130">
      <w:pPr>
        <w:pStyle w:val="Default"/>
      </w:pPr>
    </w:p>
    <w:p w:rsidR="00D74130" w:rsidRDefault="006D5943">
      <w:pPr>
        <w:pStyle w:val="Default"/>
      </w:pPr>
      <w:r w:rsidRPr="001A4D31">
        <w:t>Textbook</w:t>
      </w:r>
      <w:r w:rsidR="00D74130">
        <w:t>s</w:t>
      </w:r>
      <w:r w:rsidRPr="001A4D31">
        <w:t xml:space="preserve">: </w:t>
      </w:r>
    </w:p>
    <w:p w:rsidR="00D74130" w:rsidRDefault="00D74130">
      <w:pPr>
        <w:pStyle w:val="Default"/>
      </w:pPr>
    </w:p>
    <w:p w:rsidR="00D74130" w:rsidRDefault="00D74130">
      <w:pPr>
        <w:pStyle w:val="Default"/>
      </w:pPr>
      <w:r>
        <w:t xml:space="preserve">Johnstone, P. (2012) </w:t>
      </w:r>
      <w:r w:rsidRPr="00D74130">
        <w:rPr>
          <w:i/>
        </w:rPr>
        <w:t>Drugs and Drug Trafficking</w:t>
      </w:r>
      <w:r>
        <w:t>, Dubuque, Iowa, Kendall Hunt</w:t>
      </w:r>
    </w:p>
    <w:p w:rsidR="00D74130" w:rsidRDefault="00D74130">
      <w:pPr>
        <w:pStyle w:val="Default"/>
      </w:pPr>
    </w:p>
    <w:p w:rsidR="00D74130" w:rsidRDefault="00D74130">
      <w:pPr>
        <w:pStyle w:val="Default"/>
      </w:pPr>
    </w:p>
    <w:p w:rsidR="00E029AF" w:rsidRPr="001A4D31" w:rsidRDefault="006D5943">
      <w:pPr>
        <w:pStyle w:val="Default"/>
      </w:pPr>
      <w:r w:rsidRPr="001A4D31">
        <w:t xml:space="preserve">Lyman, M.D. &amp; Potter, G.W. (2010) </w:t>
      </w:r>
      <w:r w:rsidRPr="001A4D31">
        <w:rPr>
          <w:i/>
          <w:iCs/>
        </w:rPr>
        <w:t>Drugs in Society: Causes, Concepts and Control</w:t>
      </w:r>
      <w:r w:rsidRPr="001A4D31">
        <w:t xml:space="preserve"> (6th Ed.).  Cincinnati, OH: Anderson Publishing. </w:t>
      </w:r>
    </w:p>
    <w:p w:rsidR="00E029AF" w:rsidRPr="001A4D31" w:rsidRDefault="006D5943">
      <w:pPr>
        <w:pStyle w:val="Default"/>
      </w:pPr>
      <w:r w:rsidRPr="001A4D31">
        <w:t xml:space="preserve"> </w:t>
      </w:r>
    </w:p>
    <w:p w:rsidR="00E029AF" w:rsidRPr="001A4D31" w:rsidRDefault="006D5943">
      <w:pPr>
        <w:pStyle w:val="Default"/>
      </w:pPr>
      <w:r w:rsidRPr="001A4D31">
        <w:t xml:space="preserve">Recommended Readings: </w:t>
      </w:r>
    </w:p>
    <w:p w:rsidR="00E029AF" w:rsidRPr="001A4D31" w:rsidRDefault="006D5943">
      <w:pPr>
        <w:pStyle w:val="Default"/>
      </w:pPr>
      <w:r w:rsidRPr="001A4D31">
        <w:t xml:space="preserve"> </w:t>
      </w:r>
    </w:p>
    <w:p w:rsidR="00E029AF" w:rsidRPr="001A4D31" w:rsidRDefault="006D5943">
      <w:pPr>
        <w:pStyle w:val="Default"/>
      </w:pPr>
      <w:r w:rsidRPr="001A4D31">
        <w:t xml:space="preserve">Levinthal, C.F. (2006) </w:t>
      </w:r>
      <w:r w:rsidRPr="001A4D31">
        <w:rPr>
          <w:i/>
          <w:iCs/>
        </w:rPr>
        <w:t>Drugs, Society and Criminal Justice</w:t>
      </w:r>
      <w:r w:rsidRPr="001A4D31">
        <w:t xml:space="preserve">. New York: Pearson Educational. </w:t>
      </w:r>
    </w:p>
    <w:p w:rsidR="00E029AF" w:rsidRPr="001A4D31" w:rsidRDefault="006D5943">
      <w:pPr>
        <w:pStyle w:val="Default"/>
      </w:pPr>
      <w:r w:rsidRPr="001A4D31">
        <w:t xml:space="preserve"> </w:t>
      </w:r>
    </w:p>
    <w:p w:rsidR="00E029AF" w:rsidRPr="001A4D31" w:rsidRDefault="006D5943">
      <w:pPr>
        <w:pStyle w:val="Default"/>
      </w:pPr>
      <w:r w:rsidRPr="001A4D31">
        <w:t xml:space="preserve">Inciardi, J.A. &amp; McElrath (2007) </w:t>
      </w:r>
      <w:r w:rsidRPr="001A4D31">
        <w:rPr>
          <w:i/>
          <w:iCs/>
        </w:rPr>
        <w:t>The American Drug Scene: An Anthology</w:t>
      </w:r>
      <w:r w:rsidRPr="001A4D31">
        <w:t xml:space="preserve"> (5th Ed.). London, Oxford University Press </w:t>
      </w: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1A4D31" w:rsidRDefault="006D5943">
      <w:pPr>
        <w:pStyle w:val="Default"/>
      </w:pPr>
      <w:r w:rsidRPr="001A4D31">
        <w:t xml:space="preserve">Exams: </w:t>
      </w:r>
    </w:p>
    <w:p w:rsidR="001A4D31" w:rsidRDefault="001A4D31">
      <w:pPr>
        <w:pStyle w:val="Default"/>
      </w:pPr>
    </w:p>
    <w:p w:rsidR="001A4D31" w:rsidRDefault="001A4D31" w:rsidP="001A4D31">
      <w:pPr>
        <w:jc w:val="both"/>
        <w:rPr>
          <w:rFonts w:ascii="Arial" w:hAnsi="Arial" w:cs="Arial"/>
          <w:sz w:val="24"/>
          <w:szCs w:val="24"/>
        </w:rPr>
      </w:pPr>
      <w:r w:rsidRPr="001A4D31">
        <w:rPr>
          <w:rFonts w:ascii="Arial" w:hAnsi="Arial" w:cs="Arial"/>
          <w:sz w:val="24"/>
          <w:szCs w:val="24"/>
        </w:rPr>
        <w:t xml:space="preserve">There will be a mid-term examination. This will be an essay exam comprising of </w:t>
      </w:r>
      <w:r w:rsidR="00436E49">
        <w:rPr>
          <w:rFonts w:ascii="Arial" w:hAnsi="Arial" w:cs="Arial"/>
          <w:sz w:val="24"/>
          <w:szCs w:val="24"/>
        </w:rPr>
        <w:t>1</w:t>
      </w:r>
      <w:r w:rsidRPr="001A4D31">
        <w:rPr>
          <w:rFonts w:ascii="Arial" w:hAnsi="Arial" w:cs="Arial"/>
          <w:sz w:val="24"/>
          <w:szCs w:val="24"/>
        </w:rPr>
        <w:t xml:space="preserve"> c</w:t>
      </w:r>
      <w:r w:rsidR="00436E49">
        <w:rPr>
          <w:rFonts w:ascii="Arial" w:hAnsi="Arial" w:cs="Arial"/>
          <w:sz w:val="24"/>
          <w:szCs w:val="24"/>
        </w:rPr>
        <w:t>ompulsory question</w:t>
      </w:r>
      <w:r w:rsidRPr="001A4D31">
        <w:rPr>
          <w:rFonts w:ascii="Arial" w:hAnsi="Arial" w:cs="Arial"/>
          <w:sz w:val="24"/>
          <w:szCs w:val="24"/>
        </w:rPr>
        <w:t xml:space="preserve">. This exam is worth </w:t>
      </w:r>
      <w:r w:rsidR="00B60398">
        <w:rPr>
          <w:rFonts w:ascii="Arial" w:hAnsi="Arial" w:cs="Arial"/>
          <w:sz w:val="24"/>
          <w:szCs w:val="24"/>
        </w:rPr>
        <w:t>3</w:t>
      </w:r>
      <w:r w:rsidRPr="001A4D31">
        <w:rPr>
          <w:rFonts w:ascii="Arial" w:hAnsi="Arial" w:cs="Arial"/>
          <w:sz w:val="24"/>
          <w:szCs w:val="24"/>
        </w:rPr>
        <w:t xml:space="preserve">0 points. There will be a final, </w:t>
      </w:r>
      <w:r w:rsidR="00436E49">
        <w:rPr>
          <w:rFonts w:ascii="Arial" w:hAnsi="Arial" w:cs="Arial"/>
          <w:sz w:val="24"/>
          <w:szCs w:val="24"/>
        </w:rPr>
        <w:t>essay format exam</w:t>
      </w:r>
      <w:r w:rsidRPr="001A4D31">
        <w:rPr>
          <w:rFonts w:ascii="Arial" w:hAnsi="Arial" w:cs="Arial"/>
          <w:sz w:val="24"/>
          <w:szCs w:val="24"/>
        </w:rPr>
        <w:t xml:space="preserve">. </w:t>
      </w:r>
      <w:r w:rsidR="00436E49" w:rsidRPr="001A4D31">
        <w:rPr>
          <w:rFonts w:ascii="Arial" w:hAnsi="Arial" w:cs="Arial"/>
          <w:sz w:val="24"/>
          <w:szCs w:val="24"/>
        </w:rPr>
        <w:t xml:space="preserve">This will be an essay exam comprising of </w:t>
      </w:r>
      <w:r w:rsidR="00436E49">
        <w:rPr>
          <w:rFonts w:ascii="Arial" w:hAnsi="Arial" w:cs="Arial"/>
          <w:sz w:val="24"/>
          <w:szCs w:val="24"/>
        </w:rPr>
        <w:t>1</w:t>
      </w:r>
      <w:r w:rsidR="00436E49" w:rsidRPr="001A4D31">
        <w:rPr>
          <w:rFonts w:ascii="Arial" w:hAnsi="Arial" w:cs="Arial"/>
          <w:sz w:val="24"/>
          <w:szCs w:val="24"/>
        </w:rPr>
        <w:t xml:space="preserve"> c</w:t>
      </w:r>
      <w:r w:rsidR="00436E49">
        <w:rPr>
          <w:rFonts w:ascii="Arial" w:hAnsi="Arial" w:cs="Arial"/>
          <w:sz w:val="24"/>
          <w:szCs w:val="24"/>
        </w:rPr>
        <w:t>ompulsory question</w:t>
      </w:r>
      <w:r w:rsidR="00436E49" w:rsidRPr="001A4D31">
        <w:rPr>
          <w:rFonts w:ascii="Arial" w:hAnsi="Arial" w:cs="Arial"/>
          <w:sz w:val="24"/>
          <w:szCs w:val="24"/>
        </w:rPr>
        <w:t>.</w:t>
      </w:r>
      <w:r w:rsidR="00436E49">
        <w:rPr>
          <w:rFonts w:ascii="Arial" w:hAnsi="Arial" w:cs="Arial"/>
          <w:sz w:val="24"/>
          <w:szCs w:val="24"/>
        </w:rPr>
        <w:t xml:space="preserve"> </w:t>
      </w:r>
      <w:bookmarkStart w:id="0" w:name="_GoBack"/>
      <w:bookmarkEnd w:id="0"/>
      <w:r w:rsidRPr="001A4D31">
        <w:rPr>
          <w:rFonts w:ascii="Arial" w:hAnsi="Arial" w:cs="Arial"/>
          <w:sz w:val="24"/>
          <w:szCs w:val="24"/>
        </w:rPr>
        <w:t>This exam is worth 50 points. Examinations will cover textbook readings and the material covered in class. Examination material will be cumulative. In addition to the exams there will be 10 quizzes</w:t>
      </w:r>
      <w:r w:rsidR="00B60398">
        <w:rPr>
          <w:rFonts w:ascii="Arial" w:hAnsi="Arial" w:cs="Arial"/>
          <w:sz w:val="24"/>
          <w:szCs w:val="24"/>
        </w:rPr>
        <w:t xml:space="preserve">, true </w:t>
      </w:r>
      <w:r w:rsidRPr="001A4D31">
        <w:rPr>
          <w:rFonts w:ascii="Arial" w:hAnsi="Arial" w:cs="Arial"/>
          <w:sz w:val="24"/>
          <w:szCs w:val="24"/>
        </w:rPr>
        <w:t>and false and multiple</w:t>
      </w:r>
      <w:r w:rsidR="00B60398">
        <w:rPr>
          <w:rFonts w:ascii="Arial" w:hAnsi="Arial" w:cs="Arial"/>
          <w:sz w:val="24"/>
          <w:szCs w:val="24"/>
        </w:rPr>
        <w:t>-</w:t>
      </w:r>
      <w:r w:rsidRPr="001A4D31">
        <w:rPr>
          <w:rFonts w:ascii="Arial" w:hAnsi="Arial" w:cs="Arial"/>
          <w:sz w:val="24"/>
          <w:szCs w:val="24"/>
        </w:rPr>
        <w:t xml:space="preserve">choice. These quizzes will be randomly distributed throughout the entire course. The </w:t>
      </w:r>
      <w:r w:rsidR="00B60398">
        <w:rPr>
          <w:rFonts w:ascii="Arial" w:hAnsi="Arial" w:cs="Arial"/>
          <w:sz w:val="24"/>
          <w:szCs w:val="24"/>
        </w:rPr>
        <w:t>randomly distributed</w:t>
      </w:r>
      <w:r w:rsidRPr="001A4D31">
        <w:rPr>
          <w:rFonts w:ascii="Arial" w:hAnsi="Arial" w:cs="Arial"/>
          <w:sz w:val="24"/>
          <w:szCs w:val="24"/>
        </w:rPr>
        <w:t xml:space="preserve"> quizzes are worth 10 points each. Total maximum points for </w:t>
      </w:r>
      <w:r w:rsidR="00B60398">
        <w:rPr>
          <w:rFonts w:ascii="Arial" w:hAnsi="Arial" w:cs="Arial"/>
          <w:sz w:val="24"/>
          <w:szCs w:val="24"/>
        </w:rPr>
        <w:t>randomly distributed</w:t>
      </w:r>
      <w:r w:rsidRPr="001A4D31">
        <w:rPr>
          <w:rFonts w:ascii="Arial" w:hAnsi="Arial" w:cs="Arial"/>
          <w:sz w:val="24"/>
          <w:szCs w:val="24"/>
        </w:rPr>
        <w:t xml:space="preserve"> quizzes are 100. Total maximum points for </w:t>
      </w:r>
      <w:r w:rsidR="00B60398">
        <w:rPr>
          <w:rFonts w:ascii="Arial" w:hAnsi="Arial" w:cs="Arial"/>
          <w:sz w:val="24"/>
          <w:szCs w:val="24"/>
        </w:rPr>
        <w:t>randomly distributed quizzes, mid-term and final will be</w:t>
      </w:r>
      <w:r w:rsidRPr="001A4D31">
        <w:rPr>
          <w:rFonts w:ascii="Arial" w:hAnsi="Arial" w:cs="Arial"/>
          <w:sz w:val="24"/>
          <w:szCs w:val="24"/>
        </w:rPr>
        <w:t xml:space="preserve"> </w:t>
      </w:r>
      <w:r w:rsidR="00B60398">
        <w:rPr>
          <w:rFonts w:ascii="Arial" w:hAnsi="Arial" w:cs="Arial"/>
          <w:sz w:val="24"/>
          <w:szCs w:val="24"/>
        </w:rPr>
        <w:t>180</w:t>
      </w:r>
      <w:r w:rsidRPr="001A4D31">
        <w:rPr>
          <w:rFonts w:ascii="Arial" w:hAnsi="Arial" w:cs="Arial"/>
          <w:sz w:val="24"/>
          <w:szCs w:val="24"/>
        </w:rPr>
        <w:t xml:space="preserve"> points. </w:t>
      </w:r>
    </w:p>
    <w:p w:rsidR="00B60398" w:rsidRDefault="00B60398" w:rsidP="001A4D31">
      <w:pPr>
        <w:jc w:val="both"/>
        <w:rPr>
          <w:rFonts w:ascii="Arial" w:hAnsi="Arial" w:cs="Arial"/>
          <w:sz w:val="24"/>
          <w:szCs w:val="24"/>
        </w:rPr>
      </w:pPr>
    </w:p>
    <w:p w:rsidR="00B60398" w:rsidRDefault="00B60398" w:rsidP="001A4D31">
      <w:pPr>
        <w:jc w:val="both"/>
        <w:rPr>
          <w:rFonts w:ascii="Arial" w:hAnsi="Arial" w:cs="Arial"/>
          <w:sz w:val="24"/>
          <w:szCs w:val="24"/>
        </w:rPr>
      </w:pPr>
      <w:r>
        <w:rPr>
          <w:rFonts w:ascii="Arial" w:hAnsi="Arial" w:cs="Arial"/>
          <w:sz w:val="24"/>
          <w:szCs w:val="24"/>
        </w:rPr>
        <w:t xml:space="preserve">In addition to exams there will be points awarded for discussion participation. Questions will be posted by Professor Johnstone and you are expected to contribute answers and discussion to the topic. Each discussion entry will be eligible for a maximum of 5 points. </w:t>
      </w:r>
      <w:r>
        <w:rPr>
          <w:rFonts w:ascii="Arial" w:hAnsi="Arial" w:cs="Arial"/>
          <w:sz w:val="24"/>
          <w:szCs w:val="24"/>
        </w:rPr>
        <w:lastRenderedPageBreak/>
        <w:t>There will be 8 discussion sessions and your best 4 entries will be carried forward to the final, 4 x 5 (maximum achievable) 20 Points.</w:t>
      </w:r>
    </w:p>
    <w:p w:rsidR="00B60398" w:rsidRDefault="00B60398" w:rsidP="001A4D31">
      <w:pPr>
        <w:jc w:val="both"/>
        <w:rPr>
          <w:rFonts w:ascii="Arial" w:hAnsi="Arial" w:cs="Arial"/>
          <w:sz w:val="24"/>
          <w:szCs w:val="24"/>
        </w:rPr>
      </w:pPr>
    </w:p>
    <w:p w:rsidR="00B60398" w:rsidRPr="001A4D31" w:rsidRDefault="00B60398" w:rsidP="001A4D31">
      <w:pPr>
        <w:jc w:val="both"/>
        <w:rPr>
          <w:rFonts w:ascii="Arial" w:hAnsi="Arial" w:cs="Arial"/>
          <w:sz w:val="24"/>
          <w:szCs w:val="24"/>
        </w:rPr>
      </w:pPr>
    </w:p>
    <w:p w:rsidR="001A4D31" w:rsidRPr="001A4D31" w:rsidRDefault="001A4D31" w:rsidP="001A4D31">
      <w:pPr>
        <w:jc w:val="both"/>
        <w:rPr>
          <w:rFonts w:ascii="Arial" w:hAnsi="Arial" w:cs="Arial"/>
          <w:sz w:val="24"/>
          <w:szCs w:val="24"/>
        </w:rPr>
      </w:pPr>
      <w:r w:rsidRPr="001A4D31">
        <w:rPr>
          <w:rFonts w:ascii="Arial" w:hAnsi="Arial" w:cs="Arial"/>
          <w:sz w:val="24"/>
          <w:szCs w:val="24"/>
        </w:rPr>
        <w:t>Grades:  A</w:t>
      </w:r>
      <w:r w:rsidRPr="001A4D31">
        <w:rPr>
          <w:rFonts w:ascii="Arial" w:hAnsi="Arial" w:cs="Arial"/>
          <w:sz w:val="24"/>
          <w:szCs w:val="24"/>
        </w:rPr>
        <w:tab/>
        <w:t xml:space="preserve">180-200 points </w:t>
      </w:r>
    </w:p>
    <w:p w:rsidR="001A4D31" w:rsidRPr="001A4D31" w:rsidRDefault="001A4D31" w:rsidP="001A4D31">
      <w:pPr>
        <w:jc w:val="both"/>
        <w:rPr>
          <w:rFonts w:ascii="Arial" w:hAnsi="Arial" w:cs="Arial"/>
          <w:sz w:val="24"/>
          <w:szCs w:val="24"/>
        </w:rPr>
      </w:pPr>
      <w:r w:rsidRPr="001A4D31">
        <w:rPr>
          <w:rFonts w:ascii="Arial" w:hAnsi="Arial" w:cs="Arial"/>
          <w:sz w:val="24"/>
          <w:szCs w:val="24"/>
        </w:rPr>
        <w:tab/>
        <w:t xml:space="preserve">   B</w:t>
      </w:r>
      <w:r w:rsidRPr="001A4D31">
        <w:rPr>
          <w:rFonts w:ascii="Arial" w:hAnsi="Arial" w:cs="Arial"/>
          <w:sz w:val="24"/>
          <w:szCs w:val="24"/>
        </w:rPr>
        <w:tab/>
        <w:t>160-179.99 points</w:t>
      </w:r>
    </w:p>
    <w:p w:rsidR="001A4D31" w:rsidRPr="001A4D31" w:rsidRDefault="001A4D31" w:rsidP="001A4D31">
      <w:pPr>
        <w:jc w:val="both"/>
        <w:rPr>
          <w:rFonts w:ascii="Arial" w:hAnsi="Arial" w:cs="Arial"/>
          <w:sz w:val="24"/>
          <w:szCs w:val="24"/>
        </w:rPr>
      </w:pPr>
      <w:r w:rsidRPr="001A4D31">
        <w:rPr>
          <w:rFonts w:ascii="Arial" w:hAnsi="Arial" w:cs="Arial"/>
          <w:sz w:val="24"/>
          <w:szCs w:val="24"/>
        </w:rPr>
        <w:t xml:space="preserve">          C</w:t>
      </w:r>
      <w:r w:rsidRPr="001A4D31">
        <w:rPr>
          <w:rFonts w:ascii="Arial" w:hAnsi="Arial" w:cs="Arial"/>
          <w:sz w:val="24"/>
          <w:szCs w:val="24"/>
        </w:rPr>
        <w:tab/>
        <w:t>140-159.99 points</w:t>
      </w:r>
    </w:p>
    <w:p w:rsidR="001A4D31" w:rsidRPr="001A4D31" w:rsidRDefault="001A4D31" w:rsidP="001A4D31">
      <w:pPr>
        <w:jc w:val="both"/>
        <w:rPr>
          <w:rFonts w:ascii="Arial" w:hAnsi="Arial" w:cs="Arial"/>
          <w:sz w:val="24"/>
          <w:szCs w:val="24"/>
        </w:rPr>
      </w:pPr>
      <w:r w:rsidRPr="001A4D31">
        <w:rPr>
          <w:rFonts w:ascii="Arial" w:hAnsi="Arial" w:cs="Arial"/>
          <w:sz w:val="24"/>
          <w:szCs w:val="24"/>
        </w:rPr>
        <w:t xml:space="preserve">          D</w:t>
      </w:r>
      <w:r w:rsidRPr="001A4D31">
        <w:rPr>
          <w:rFonts w:ascii="Arial" w:hAnsi="Arial" w:cs="Arial"/>
          <w:sz w:val="24"/>
          <w:szCs w:val="24"/>
        </w:rPr>
        <w:tab/>
        <w:t>120-139.99 points</w:t>
      </w:r>
    </w:p>
    <w:p w:rsidR="001A4D31" w:rsidRPr="001A4D31" w:rsidRDefault="001A4D31" w:rsidP="001A4D31">
      <w:pPr>
        <w:jc w:val="both"/>
        <w:rPr>
          <w:rFonts w:ascii="Arial" w:hAnsi="Arial" w:cs="Arial"/>
          <w:sz w:val="24"/>
          <w:szCs w:val="24"/>
        </w:rPr>
      </w:pPr>
      <w:r w:rsidRPr="001A4D31">
        <w:rPr>
          <w:rFonts w:ascii="Arial" w:hAnsi="Arial" w:cs="Arial"/>
          <w:sz w:val="24"/>
          <w:szCs w:val="24"/>
        </w:rPr>
        <w:tab/>
        <w:t xml:space="preserve">   F   Below 120 points</w:t>
      </w:r>
    </w:p>
    <w:p w:rsidR="00B60398" w:rsidRDefault="00B60398" w:rsidP="001A4D31">
      <w:pPr>
        <w:pStyle w:val="Default"/>
      </w:pPr>
    </w:p>
    <w:p w:rsidR="001A4D31" w:rsidRDefault="006D5943" w:rsidP="001A4D31">
      <w:pPr>
        <w:pStyle w:val="Default"/>
      </w:pPr>
      <w:proofErr w:type="gramStart"/>
      <w:r w:rsidRPr="001A4D31">
        <w:t>Academic Dishonesty.</w:t>
      </w:r>
      <w:proofErr w:type="gramEnd"/>
      <w:r w:rsidRPr="001A4D31">
        <w:t xml:space="preserve"> Students found to be cheating, plagiarizing, fabricating information or citations, or facilitating academic dishonesty will receive a zero grade for the course. See further: Chapter # -07 Student Affairs. </w:t>
      </w:r>
      <w:r w:rsidR="001A4D31" w:rsidRPr="001A4D31">
        <w:t>18.1.16 Student</w:t>
      </w:r>
      <w:r w:rsidRPr="001A4D31">
        <w:t xml:space="preserve"> Standards of Academic Integrity. </w:t>
      </w:r>
    </w:p>
    <w:p w:rsidR="001A4D31" w:rsidRDefault="001A4D31" w:rsidP="001A4D31">
      <w:pPr>
        <w:pStyle w:val="Default"/>
      </w:pPr>
    </w:p>
    <w:p w:rsidR="00B60398" w:rsidRDefault="00B60398" w:rsidP="001A4D31">
      <w:pPr>
        <w:pStyle w:val="Default"/>
      </w:pPr>
    </w:p>
    <w:p w:rsidR="00E029AF" w:rsidRPr="001A4D31" w:rsidRDefault="006D5943" w:rsidP="001A4D31">
      <w:pPr>
        <w:pStyle w:val="Default"/>
      </w:pPr>
      <w:proofErr w:type="gramStart"/>
      <w:r w:rsidRPr="001A4D31">
        <w:t>Americans with Disabilities Act.</w:t>
      </w:r>
      <w:proofErr w:type="gramEnd"/>
      <w:r w:rsidRPr="001A4D31">
        <w:t xml:space="preserve"> The university complies with Section 504 of the Rehabilitation Act and The Americans with Disabilities Act. Students who may need accommodations should call the Office of Disability Accommodation (940-369-8652). </w:t>
      </w:r>
    </w:p>
    <w:p w:rsidR="00E029AF" w:rsidRPr="001A4D31" w:rsidRDefault="006D5943">
      <w:pPr>
        <w:pStyle w:val="Default"/>
      </w:pPr>
      <w:r w:rsidRPr="001A4D31">
        <w:t xml:space="preserve"> </w:t>
      </w:r>
    </w:p>
    <w:p w:rsidR="00E029AF" w:rsidRPr="001A4D31" w:rsidRDefault="006D5943">
      <w:pPr>
        <w:pStyle w:val="Default"/>
      </w:pPr>
      <w:r w:rsidRPr="001A4D31">
        <w:t xml:space="preserve"> </w:t>
      </w:r>
    </w:p>
    <w:p w:rsidR="00B60398" w:rsidRPr="00B60398" w:rsidRDefault="00B60398">
      <w:pPr>
        <w:pStyle w:val="Default"/>
        <w:rPr>
          <w:color w:val="FF0000"/>
        </w:rPr>
      </w:pPr>
      <w:proofErr w:type="gramStart"/>
      <w:r w:rsidRPr="00B60398">
        <w:rPr>
          <w:color w:val="FF0000"/>
        </w:rPr>
        <w:t xml:space="preserve">Unit </w:t>
      </w:r>
      <w:r w:rsidR="006D5943" w:rsidRPr="00B60398">
        <w:rPr>
          <w:color w:val="FF0000"/>
        </w:rPr>
        <w:t xml:space="preserve"> Schedule</w:t>
      </w:r>
      <w:proofErr w:type="gramEnd"/>
      <w:r w:rsidR="006D5943" w:rsidRPr="00B60398">
        <w:rPr>
          <w:color w:val="FF0000"/>
        </w:rPr>
        <w:t>:</w:t>
      </w:r>
    </w:p>
    <w:p w:rsidR="00B60398" w:rsidRPr="00B60398" w:rsidRDefault="00B60398">
      <w:pPr>
        <w:pStyle w:val="Default"/>
        <w:rPr>
          <w:color w:val="FF0000"/>
        </w:rPr>
      </w:pPr>
    </w:p>
    <w:p w:rsidR="00E029AF" w:rsidRPr="00B60398" w:rsidRDefault="006D5943">
      <w:pPr>
        <w:pStyle w:val="Default"/>
        <w:rPr>
          <w:color w:val="FF0000"/>
        </w:rPr>
      </w:pPr>
      <w:r w:rsidRPr="00B60398">
        <w:rPr>
          <w:color w:val="FF0000"/>
        </w:rPr>
        <w:t xml:space="preserve"> </w:t>
      </w:r>
      <w:proofErr w:type="gramStart"/>
      <w:r w:rsidR="00B60398" w:rsidRPr="00B60398">
        <w:rPr>
          <w:color w:val="FF0000"/>
        </w:rPr>
        <w:t>Lauri.</w:t>
      </w:r>
      <w:proofErr w:type="gramEnd"/>
    </w:p>
    <w:p w:rsidR="00E029AF" w:rsidRPr="00B60398" w:rsidRDefault="006D5943">
      <w:pPr>
        <w:pStyle w:val="Default"/>
        <w:rPr>
          <w:color w:val="FF0000"/>
        </w:rPr>
      </w:pPr>
      <w:r w:rsidRPr="00B60398">
        <w:rPr>
          <w:color w:val="FF0000"/>
        </w:rPr>
        <w:t xml:space="preserve"> </w:t>
      </w:r>
    </w:p>
    <w:p w:rsidR="00B60398" w:rsidRPr="00B60398" w:rsidRDefault="00B60398">
      <w:pPr>
        <w:pStyle w:val="Default"/>
        <w:rPr>
          <w:color w:val="FF0000"/>
        </w:rPr>
      </w:pPr>
      <w:r w:rsidRPr="00B60398">
        <w:rPr>
          <w:color w:val="FF0000"/>
        </w:rPr>
        <w:t>***THIs needs to be taken from the other materials I sent (I think) we should discuss please****.</w:t>
      </w:r>
    </w:p>
    <w:sectPr w:rsidR="00B60398" w:rsidRPr="00B60398">
      <w:pgSz w:w="12240" w:h="16340"/>
      <w:pgMar w:top="1871" w:right="1222" w:bottom="656"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06C6"/>
    <w:multiLevelType w:val="hybridMultilevel"/>
    <w:tmpl w:val="42BEA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31"/>
    <w:rsid w:val="00151B39"/>
    <w:rsid w:val="001A4D31"/>
    <w:rsid w:val="00436E49"/>
    <w:rsid w:val="006D5943"/>
    <w:rsid w:val="009C0911"/>
    <w:rsid w:val="00B60398"/>
    <w:rsid w:val="00D56056"/>
    <w:rsid w:val="00D74130"/>
    <w:rsid w:val="00E029AF"/>
    <w:rsid w:val="00E4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nstone@un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DRUGS, CRIME and SOCIETY</vt:lpstr>
    </vt:vector>
  </TitlesOfParts>
  <Company>University of North Texas</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CRIME and SOCIETY</dc:title>
  <dc:creator>Peter Johnstone</dc:creator>
  <cp:lastModifiedBy>peter</cp:lastModifiedBy>
  <cp:revision>2</cp:revision>
  <dcterms:created xsi:type="dcterms:W3CDTF">2012-08-26T13:58:00Z</dcterms:created>
  <dcterms:modified xsi:type="dcterms:W3CDTF">2012-08-26T13:58:00Z</dcterms:modified>
</cp:coreProperties>
</file>