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52" w:rsidRPr="00057752" w:rsidRDefault="00057752" w:rsidP="00057752">
      <w:pPr>
        <w:spacing w:before="100" w:beforeAutospacing="1" w:after="100" w:afterAutospacing="1"/>
        <w:outlineLvl w:val="0"/>
        <w:rPr>
          <w:rFonts w:eastAsia="Times New Roman"/>
          <w:b/>
          <w:bCs/>
          <w:kern w:val="36"/>
          <w:sz w:val="48"/>
          <w:szCs w:val="48"/>
        </w:rPr>
      </w:pPr>
      <w:bookmarkStart w:id="0" w:name="_GoBack"/>
      <w:bookmarkEnd w:id="0"/>
      <w:r w:rsidRPr="00057752">
        <w:rPr>
          <w:rFonts w:eastAsia="Times New Roman"/>
          <w:b/>
          <w:bCs/>
          <w:kern w:val="36"/>
          <w:sz w:val="48"/>
          <w:szCs w:val="48"/>
        </w:rPr>
        <w:t>Syllabus</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Moodle</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This course is using </w:t>
      </w:r>
      <w:hyperlink r:id="rId6" w:history="1">
        <w:r w:rsidRPr="00057752">
          <w:rPr>
            <w:rFonts w:eastAsia="Times New Roman"/>
            <w:color w:val="0000FF"/>
            <w:sz w:val="24"/>
            <w:szCs w:val="24"/>
            <w:u w:val="single"/>
          </w:rPr>
          <w:t>Moodle</w:t>
        </w:r>
      </w:hyperlink>
      <w:r w:rsidRPr="00057752">
        <w:rPr>
          <w:rFonts w:eastAsia="Times New Roman"/>
          <w:sz w:val="24"/>
          <w:szCs w:val="24"/>
        </w:rPr>
        <w:t> for course discussion and assignment posting. Be sure to login into the LT moodle and select the course you are registered for.</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Instructor</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See the moodle course for instructor contact information.</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Texts</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None. Readings as assigned.</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Pre-Requisite</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None</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Course Description</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Advanced design and implementation of educational multimedia and hypermedia products utilizing strategies from message design, human factors research, learning theory and other theoretical and critical approaches. This is a project-based course emphasizing analysis design, development, implementation and evaluation. </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Course Requirements</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To plan a minimum of six to nine hours a week of outside preparation is a safe time allocation for successfully completing this course. This is an advanced course that explores various theory, concepts, and technologies related to Advanced Instructional Design.</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We will be using Adobe Connect Pro for online meetings during the course. Student should have 1) a </w:t>
      </w:r>
      <w:hyperlink r:id="rId7" w:anchor="q=logitech+headset+with+boom+mic&amp;hl=en&amp;client=firefox-a&amp;hs=zKj&amp;rls=org.mozilla:en-US:official&amp;biw=1550&amp;bih=1038&amp;tbs=shop:1,p_ord:r&amp;fp=d905516b4d416d47" w:history="1">
        <w:r w:rsidRPr="00057752">
          <w:rPr>
            <w:rFonts w:eastAsia="Times New Roman"/>
            <w:color w:val="0000FF"/>
            <w:sz w:val="24"/>
            <w:szCs w:val="24"/>
            <w:u w:val="single"/>
          </w:rPr>
          <w:t>USB headset with boom mic</w:t>
        </w:r>
      </w:hyperlink>
      <w:r w:rsidRPr="00057752">
        <w:rPr>
          <w:rFonts w:eastAsia="Times New Roman"/>
          <w:sz w:val="24"/>
          <w:szCs w:val="24"/>
        </w:rPr>
        <w:t>, 2) a </w:t>
      </w:r>
      <w:hyperlink r:id="rId8" w:anchor="q=web+cam&amp;hl=en&amp;client=firefox-a&amp;hs=ReO&amp;rls=org.mozilla:en-US:official&amp;prmd=ivnsr&amp;source=univ&amp;tbs=shop:1&amp;tbo=u&amp;ei=HIsmTeXEI8Kblge-3Lj2AQ&amp;sa=X&amp;oi=product_result_group&amp;ct=title&amp;resnum=3&amp;ved=0CFoQrQQwAg&amp;biw=1550&amp;bih=1038&amp;fp=83f87efc6f926f13" w:history="1">
        <w:r w:rsidRPr="00057752">
          <w:rPr>
            <w:rFonts w:eastAsia="Times New Roman"/>
            <w:color w:val="0000FF"/>
            <w:sz w:val="24"/>
            <w:szCs w:val="24"/>
            <w:u w:val="single"/>
          </w:rPr>
          <w:t>web cam</w:t>
        </w:r>
      </w:hyperlink>
      <w:r w:rsidRPr="00057752">
        <w:rPr>
          <w:rFonts w:eastAsia="Times New Roman"/>
          <w:sz w:val="24"/>
          <w:szCs w:val="24"/>
        </w:rPr>
        <w:t>, and 3) access to high speed Internet (i.e. cable, dsl, fiber, etc). Call phone data connections are not fast enough.</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Course Topics and Objectives</w:t>
      </w:r>
    </w:p>
    <w:p w:rsidR="00057752" w:rsidRPr="00057752" w:rsidRDefault="00057752" w:rsidP="00057752">
      <w:pPr>
        <w:numPr>
          <w:ilvl w:val="0"/>
          <w:numId w:val="1"/>
        </w:numPr>
        <w:spacing w:before="100" w:beforeAutospacing="1" w:after="100" w:afterAutospacing="1"/>
        <w:rPr>
          <w:rFonts w:eastAsia="Times New Roman"/>
          <w:sz w:val="24"/>
          <w:szCs w:val="24"/>
        </w:rPr>
      </w:pPr>
      <w:r w:rsidRPr="00057752">
        <w:rPr>
          <w:rFonts w:eastAsia="Times New Roman"/>
          <w:sz w:val="24"/>
          <w:szCs w:val="24"/>
        </w:rPr>
        <w:t>Discuss and develop systems using current methods for the delivery of interactive materials at a consistent quality level.</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lastRenderedPageBreak/>
        <w:t>Grading</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A total of 120 points for the course will be allocated as follows</w:t>
      </w:r>
    </w:p>
    <w:tbl>
      <w:tblPr>
        <w:tblW w:w="0" w:type="auto"/>
        <w:tblCellSpacing w:w="12" w:type="dxa"/>
        <w:tblCellMar>
          <w:left w:w="0" w:type="dxa"/>
          <w:right w:w="0" w:type="dxa"/>
        </w:tblCellMar>
        <w:tblLook w:val="04A0" w:firstRow="1" w:lastRow="0" w:firstColumn="1" w:lastColumn="0" w:noHBand="0" w:noVBand="1"/>
      </w:tblPr>
      <w:tblGrid>
        <w:gridCol w:w="6462"/>
        <w:gridCol w:w="1103"/>
      </w:tblGrid>
      <w:tr w:rsidR="00057752" w:rsidRPr="00057752" w:rsidTr="00057752">
        <w:trPr>
          <w:tblCellSpacing w:w="12" w:type="dxa"/>
        </w:trPr>
        <w:tc>
          <w:tcPr>
            <w:tcW w:w="0" w:type="auto"/>
            <w:gridSpan w:val="2"/>
            <w:vAlign w:val="center"/>
            <w:hideMark/>
          </w:tcPr>
          <w:p w:rsidR="00057752" w:rsidRPr="00057752" w:rsidRDefault="00057752" w:rsidP="00057752">
            <w:pPr>
              <w:rPr>
                <w:rFonts w:eastAsia="Times New Roman"/>
                <w:sz w:val="24"/>
                <w:szCs w:val="24"/>
              </w:rPr>
            </w:pPr>
          </w:p>
        </w:tc>
      </w:tr>
      <w:tr w:rsidR="00057752" w:rsidRPr="00057752" w:rsidTr="00057752">
        <w:trPr>
          <w:tblCellSpacing w:w="12" w:type="dxa"/>
        </w:trPr>
        <w:tc>
          <w:tcPr>
            <w:tcW w:w="0" w:type="auto"/>
            <w:vAlign w:val="center"/>
            <w:hideMark/>
          </w:tcPr>
          <w:p w:rsidR="00057752" w:rsidRPr="00057752" w:rsidRDefault="00F6797A" w:rsidP="00057752">
            <w:pPr>
              <w:rPr>
                <w:rFonts w:eastAsia="Times New Roman"/>
                <w:sz w:val="24"/>
                <w:szCs w:val="24"/>
              </w:rPr>
            </w:pPr>
            <w:hyperlink r:id="rId9" w:tooltip="Assignment 1 - Draft Proposal" w:history="1">
              <w:r w:rsidR="00057752" w:rsidRPr="00057752">
                <w:rPr>
                  <w:rFonts w:eastAsia="Times New Roman"/>
                  <w:color w:val="0000FF"/>
                  <w:sz w:val="24"/>
                  <w:szCs w:val="24"/>
                  <w:u w:val="single"/>
                </w:rPr>
                <w:t>Assignment 1 - Draft Proposal</w:t>
              </w:r>
            </w:hyperlink>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15 points   </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shd w:val="clear" w:color="auto" w:fill="FFFFFF"/>
              </w:rPr>
              <w:t>Assignment 2 - Formal Proposal (ISD, Project Design, Evaluation)</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25 points</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Assignment 3 - Project Completion and Demonstration</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25 points</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Assignment 4 - Evaluation of Project</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25 points</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Participation</w:t>
            </w:r>
          </w:p>
        </w:tc>
        <w:tc>
          <w:tcPr>
            <w:tcW w:w="0" w:type="auto"/>
            <w:vAlign w:val="center"/>
            <w:hideMark/>
          </w:tcPr>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10 points</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p>
        </w:tc>
      </w:tr>
    </w:tbl>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Letter grades will be the higher grade resulting from the following two standards:</w:t>
      </w:r>
    </w:p>
    <w:tbl>
      <w:tblPr>
        <w:tblW w:w="0" w:type="auto"/>
        <w:tblCellSpacing w:w="12" w:type="dxa"/>
        <w:tblCellMar>
          <w:left w:w="0" w:type="dxa"/>
          <w:right w:w="0" w:type="dxa"/>
        </w:tblCellMar>
        <w:tblLook w:val="04A0" w:firstRow="1" w:lastRow="0" w:firstColumn="1" w:lastColumn="0" w:noHBand="0" w:noVBand="1"/>
      </w:tblPr>
      <w:tblGrid>
        <w:gridCol w:w="836"/>
        <w:gridCol w:w="438"/>
        <w:gridCol w:w="264"/>
        <w:gridCol w:w="991"/>
        <w:gridCol w:w="330"/>
      </w:tblGrid>
      <w:tr w:rsidR="00057752" w:rsidRPr="00057752" w:rsidTr="00057752">
        <w:trPr>
          <w:tblCellSpacing w:w="12" w:type="dxa"/>
        </w:trPr>
        <w:tc>
          <w:tcPr>
            <w:tcW w:w="0" w:type="auto"/>
            <w:gridSpan w:val="5"/>
            <w:vAlign w:val="center"/>
            <w:hideMark/>
          </w:tcPr>
          <w:p w:rsidR="00057752" w:rsidRPr="00057752" w:rsidRDefault="00057752" w:rsidP="00057752">
            <w:pPr>
              <w:rPr>
                <w:rFonts w:eastAsia="Times New Roman"/>
                <w:sz w:val="24"/>
                <w:szCs w:val="24"/>
              </w:rPr>
            </w:pP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108-120</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A  </w:t>
            </w:r>
          </w:p>
        </w:tc>
        <w:tc>
          <w:tcPr>
            <w:tcW w:w="240" w:type="dxa"/>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Top 10%</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A</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96-107</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B</w:t>
            </w:r>
          </w:p>
        </w:tc>
        <w:tc>
          <w:tcPr>
            <w:tcW w:w="0" w:type="auto"/>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Next 20%</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B</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84-95</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C</w:t>
            </w:r>
          </w:p>
        </w:tc>
        <w:tc>
          <w:tcPr>
            <w:tcW w:w="0" w:type="auto"/>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Next 40%</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C</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72-83</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D</w:t>
            </w:r>
          </w:p>
        </w:tc>
        <w:tc>
          <w:tcPr>
            <w:tcW w:w="0" w:type="auto"/>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Next 20%</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D</w:t>
            </w:r>
          </w:p>
        </w:tc>
      </w:tr>
      <w:tr w:rsidR="00057752" w:rsidRPr="00057752" w:rsidTr="00057752">
        <w:trPr>
          <w:tblCellSpacing w:w="12" w:type="dxa"/>
        </w:trPr>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&lt;72</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F</w:t>
            </w:r>
          </w:p>
        </w:tc>
        <w:tc>
          <w:tcPr>
            <w:tcW w:w="0" w:type="auto"/>
            <w:vAlign w:val="center"/>
            <w:hideMark/>
          </w:tcPr>
          <w:p w:rsidR="00057752" w:rsidRPr="00057752" w:rsidRDefault="00057752" w:rsidP="00057752">
            <w:pPr>
              <w:rPr>
                <w:rFonts w:eastAsia="Times New Roman"/>
                <w:sz w:val="24"/>
                <w:szCs w:val="24"/>
              </w:rPr>
            </w:pP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Last 10%</w:t>
            </w:r>
          </w:p>
        </w:tc>
        <w:tc>
          <w:tcPr>
            <w:tcW w:w="0" w:type="auto"/>
            <w:vAlign w:val="center"/>
            <w:hideMark/>
          </w:tcPr>
          <w:p w:rsidR="00057752" w:rsidRPr="00057752" w:rsidRDefault="00057752" w:rsidP="00057752">
            <w:pPr>
              <w:rPr>
                <w:rFonts w:eastAsia="Times New Roman"/>
                <w:sz w:val="24"/>
                <w:szCs w:val="24"/>
              </w:rPr>
            </w:pPr>
            <w:r w:rsidRPr="00057752">
              <w:rPr>
                <w:rFonts w:eastAsia="Times New Roman"/>
                <w:sz w:val="24"/>
                <w:szCs w:val="24"/>
              </w:rPr>
              <w:t>  F</w:t>
            </w:r>
          </w:p>
        </w:tc>
      </w:tr>
    </w:tbl>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Assignment Grades</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Any assignments not turned in by the assignment date will be assigned a grade of zero, unless the student has made prior arrangements with the instructor.</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Meeting Information</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 xml:space="preserve">The course will meet on scheduled dates. Course dates and times are listed in the </w:t>
      </w:r>
      <w:hyperlink r:id="rId10" w:tgtFrame="_blank" w:tooltip="Brief Schedule Outline" w:history="1">
        <w:r w:rsidRPr="00057752">
          <w:rPr>
            <w:rFonts w:eastAsia="Times New Roman"/>
            <w:b/>
            <w:bCs/>
            <w:color w:val="0000FF"/>
            <w:sz w:val="24"/>
            <w:szCs w:val="24"/>
            <w:u w:val="single"/>
          </w:rPr>
          <w:t>Brief Schedule Outline</w:t>
        </w:r>
      </w:hyperlink>
      <w:r w:rsidRPr="00057752">
        <w:rPr>
          <w:rFonts w:eastAsia="Times New Roman"/>
          <w:b/>
          <w:bCs/>
          <w:sz w:val="24"/>
          <w:szCs w:val="24"/>
        </w:rPr>
        <w:t>.</w:t>
      </w:r>
      <w:r w:rsidRPr="00057752">
        <w:rPr>
          <w:rFonts w:eastAsia="Times New Roman"/>
          <w:sz w:val="24"/>
          <w:szCs w:val="24"/>
        </w:rPr>
        <w:t>. The course will be using Adobe Connect Pro and there is a short </w:t>
      </w:r>
      <w:hyperlink r:id="rId11" w:history="1">
        <w:r w:rsidRPr="00057752">
          <w:rPr>
            <w:rFonts w:eastAsia="Times New Roman"/>
            <w:color w:val="0000FF"/>
            <w:sz w:val="24"/>
            <w:szCs w:val="24"/>
            <w:u w:val="single"/>
          </w:rPr>
          <w:t>tutorial</w:t>
        </w:r>
      </w:hyperlink>
      <w:r w:rsidRPr="00057752">
        <w:rPr>
          <w:rFonts w:eastAsia="Times New Roman"/>
          <w:sz w:val="24"/>
          <w:szCs w:val="24"/>
        </w:rPr>
        <w:t> available on its use.. Recording of the meetings will be made available when possible. Check the </w:t>
      </w:r>
      <w:hyperlink r:id="rId12" w:tooltip="Brief Schedule Outline" w:history="1">
        <w:r w:rsidRPr="00057752">
          <w:rPr>
            <w:rFonts w:eastAsia="Times New Roman"/>
            <w:b/>
            <w:bCs/>
            <w:color w:val="0000FF"/>
            <w:sz w:val="24"/>
            <w:szCs w:val="24"/>
            <w:u w:val="single"/>
          </w:rPr>
          <w:t>Brief Schedule Outline</w:t>
        </w:r>
      </w:hyperlink>
      <w:r w:rsidRPr="00057752">
        <w:rPr>
          <w:rFonts w:eastAsia="Times New Roman"/>
          <w:sz w:val="24"/>
          <w:szCs w:val="24"/>
        </w:rPr>
        <w:t xml:space="preserve"> for dates and times. </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We will be using Adobe Connect Pro for online meetings during the course. Students should have 1) a </w:t>
      </w:r>
      <w:hyperlink r:id="rId13" w:anchor="q=logitech+headset+with+boom+mic&amp;hl=en&amp;client=firefox-a&amp;hs=zKj&amp;rls=org.mozilla:en-US:official&amp;biw=1550&amp;bih=1038&amp;tbs=shop:1,p_ord:r&amp;fp=d905516b4d416d47" w:history="1">
        <w:r w:rsidRPr="00057752">
          <w:rPr>
            <w:rFonts w:eastAsia="Times New Roman"/>
            <w:color w:val="0000FF"/>
            <w:sz w:val="24"/>
            <w:szCs w:val="24"/>
            <w:u w:val="single"/>
          </w:rPr>
          <w:t>USB headset with boom mic</w:t>
        </w:r>
      </w:hyperlink>
      <w:r w:rsidRPr="00057752">
        <w:rPr>
          <w:rFonts w:eastAsia="Times New Roman"/>
          <w:sz w:val="24"/>
          <w:szCs w:val="24"/>
        </w:rPr>
        <w:t>, 2) a </w:t>
      </w:r>
      <w:hyperlink r:id="rId14" w:anchor="q=web+cam&amp;hl=en&amp;client=firefox-a&amp;hs=ReO&amp;rls=org.mozilla:en-US:official&amp;prmd=ivnsr&amp;source=univ&amp;tbs=shop:1&amp;tbo=u&amp;ei=HIsmTeXEI8Kblge-3Lj2AQ&amp;sa=X&amp;oi=product_result_group&amp;ct=title&amp;resnum=3&amp;ved=0CFoQrQQwAg&amp;biw=1550&amp;bih=1038&amp;fp=83f87efc6f926f13" w:history="1">
        <w:r w:rsidRPr="00057752">
          <w:rPr>
            <w:rFonts w:eastAsia="Times New Roman"/>
            <w:color w:val="0000FF"/>
            <w:sz w:val="24"/>
            <w:szCs w:val="24"/>
            <w:u w:val="single"/>
          </w:rPr>
          <w:t>web cam</w:t>
        </w:r>
      </w:hyperlink>
      <w:r w:rsidRPr="00057752">
        <w:rPr>
          <w:rFonts w:eastAsia="Times New Roman"/>
          <w:sz w:val="24"/>
          <w:szCs w:val="24"/>
        </w:rPr>
        <w:t>, and 3) access to high speed Internet (i.e. cable, dsl, fiber, etc). Call phone data connections are not fast enough.</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Class Attendance/Online Interaction</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Participation and punctuality are professional behaviors expected. Educational or Instructional technology is not "doing computer projects" - it is much more. Hence, you need to be involved in class discussions and learning activities. </w:t>
      </w:r>
      <w:r w:rsidRPr="00057752">
        <w:rPr>
          <w:rFonts w:eastAsia="Times New Roman"/>
          <w:b/>
          <w:bCs/>
          <w:sz w:val="24"/>
          <w:szCs w:val="24"/>
        </w:rPr>
        <w:t>Students may be dropped from the course, with notice from the instructor, due to lack of participation or non-attendance.</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lastRenderedPageBreak/>
        <w:t>Due dates, for all assigned materials, will be announced in advance. Changes, on the assignment's requirements or due dates may be announced at later dates, in class forums, therefore reading the class forums is required. It is the student's responsibility to keep up with these updates and to have all assignments ready on time.</w:t>
      </w:r>
    </w:p>
    <w:p w:rsidR="00057752" w:rsidRPr="00057752" w:rsidRDefault="00057752" w:rsidP="00057752">
      <w:pPr>
        <w:spacing w:before="100" w:beforeAutospacing="1" w:after="100" w:afterAutospacing="1"/>
        <w:outlineLvl w:val="1"/>
        <w:rPr>
          <w:rFonts w:eastAsia="Times New Roman"/>
          <w:b/>
          <w:bCs/>
          <w:sz w:val="36"/>
          <w:szCs w:val="36"/>
        </w:rPr>
      </w:pPr>
      <w:bookmarkStart w:id="1" w:name="policy"/>
      <w:r w:rsidRPr="00057752">
        <w:rPr>
          <w:rFonts w:eastAsia="Times New Roman"/>
          <w:b/>
          <w:bCs/>
          <w:sz w:val="36"/>
          <w:szCs w:val="36"/>
        </w:rPr>
        <w:t>LT Incomplete Policy Statement</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The department complies with university policy regarding the assignment of an Incomplete Grade in any course. Please see </w:t>
      </w:r>
      <w:hyperlink r:id="rId15" w:history="1">
        <w:r w:rsidRPr="00057752">
          <w:rPr>
            <w:rFonts w:eastAsia="Times New Roman"/>
            <w:color w:val="0000FF"/>
            <w:sz w:val="24"/>
            <w:szCs w:val="24"/>
            <w:u w:val="single"/>
          </w:rPr>
          <w:t>http://essc.unt.edu/registrar/academic-record-incomplete.html</w:t>
        </w:r>
      </w:hyperlink>
      <w:r w:rsidRPr="00057752">
        <w:rPr>
          <w:rFonts w:eastAsia="Times New Roman"/>
          <w:sz w:val="24"/>
          <w:szCs w:val="24"/>
        </w:rPr>
        <w:t> for information.</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Per UNT policy, a grade of Incomplete can only be awarded to a student who is 1) passing the course and 2) has a justifiable and documented reason, beyond the control of the student, for not completing the course work on schedule. Notification and submission of documentation must be provided to the instructor at the time of the emergency.</w:t>
      </w:r>
    </w:p>
    <w:bookmarkEnd w:id="1"/>
    <w:p w:rsidR="00057752" w:rsidRPr="00057752" w:rsidRDefault="00057752" w:rsidP="00057752">
      <w:pPr>
        <w:spacing w:before="100" w:beforeAutospacing="1" w:after="100" w:afterAutospacing="1"/>
        <w:outlineLvl w:val="0"/>
        <w:rPr>
          <w:rFonts w:eastAsia="Times New Roman"/>
          <w:b/>
          <w:bCs/>
          <w:kern w:val="36"/>
          <w:sz w:val="48"/>
          <w:szCs w:val="48"/>
        </w:rPr>
      </w:pPr>
      <w:r w:rsidRPr="00057752">
        <w:rPr>
          <w:rFonts w:eastAsia="Times New Roman"/>
          <w:b/>
          <w:bCs/>
          <w:kern w:val="36"/>
          <w:sz w:val="48"/>
          <w:szCs w:val="48"/>
        </w:rPr>
        <w:t>UNT POLICIES</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Academic Dishonesty and Integrity</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Refer to the UNT Student Rights and Responsibilities </w:t>
      </w:r>
      <w:hyperlink r:id="rId16" w:history="1">
        <w:r w:rsidRPr="00057752">
          <w:rPr>
            <w:rFonts w:eastAsia="Times New Roman"/>
            <w:color w:val="0000FF"/>
            <w:sz w:val="24"/>
            <w:szCs w:val="24"/>
            <w:u w:val="single"/>
          </w:rPr>
          <w:t>Academic Dishonesty and Integrity</w:t>
        </w:r>
      </w:hyperlink>
      <w:r w:rsidRPr="00057752">
        <w:rPr>
          <w:rFonts w:eastAsia="Times New Roman"/>
          <w:sz w:val="24"/>
          <w:szCs w:val="24"/>
        </w:rPr>
        <w:t>. These include:</w:t>
      </w:r>
    </w:p>
    <w:p w:rsidR="00057752" w:rsidRPr="00057752" w:rsidRDefault="00057752" w:rsidP="00057752">
      <w:pPr>
        <w:numPr>
          <w:ilvl w:val="0"/>
          <w:numId w:val="2"/>
        </w:numPr>
        <w:spacing w:before="100" w:beforeAutospacing="1" w:after="100" w:afterAutospacing="1"/>
        <w:rPr>
          <w:rFonts w:eastAsia="Times New Roman"/>
          <w:sz w:val="24"/>
          <w:szCs w:val="24"/>
        </w:rPr>
      </w:pPr>
      <w:r w:rsidRPr="00057752">
        <w:rPr>
          <w:rFonts w:eastAsia="Times New Roman"/>
          <w:b/>
          <w:bCs/>
          <w:sz w:val="24"/>
          <w:szCs w:val="24"/>
        </w:rPr>
        <w:t>Cheating</w:t>
      </w:r>
      <w:r w:rsidRPr="00057752">
        <w:rPr>
          <w:rFonts w:eastAsia="Times New Roman"/>
          <w:sz w:val="24"/>
          <w:szCs w:val="24"/>
        </w:rPr>
        <w:t> intentionally using or attempting to use unauthorized materials, information, or study aids in any academic exercise. The term academic exercise includes all forms of work submitted for credit or hours.</w:t>
      </w:r>
    </w:p>
    <w:p w:rsidR="00057752" w:rsidRPr="00057752" w:rsidRDefault="00057752" w:rsidP="00057752">
      <w:pPr>
        <w:numPr>
          <w:ilvl w:val="0"/>
          <w:numId w:val="2"/>
        </w:numPr>
        <w:spacing w:before="100" w:beforeAutospacing="1" w:after="100" w:afterAutospacing="1"/>
        <w:rPr>
          <w:rFonts w:eastAsia="Times New Roman"/>
          <w:sz w:val="24"/>
          <w:szCs w:val="24"/>
        </w:rPr>
      </w:pPr>
      <w:r w:rsidRPr="00057752">
        <w:rPr>
          <w:rFonts w:eastAsia="Times New Roman"/>
          <w:b/>
          <w:bCs/>
          <w:sz w:val="24"/>
          <w:szCs w:val="24"/>
        </w:rPr>
        <w:t>Plagiarism</w:t>
      </w:r>
      <w:r w:rsidRPr="00057752">
        <w:rPr>
          <w:rFonts w:eastAsia="Times New Roman"/>
          <w:sz w:val="24"/>
          <w:szCs w:val="24"/>
        </w:rPr>
        <w:t> the deliberate adoption or reproduction of ideas, words or statements of another person as one's own without acknowledgement.</w:t>
      </w:r>
    </w:p>
    <w:p w:rsidR="00057752" w:rsidRPr="00057752" w:rsidRDefault="00057752" w:rsidP="00057752">
      <w:pPr>
        <w:numPr>
          <w:ilvl w:val="0"/>
          <w:numId w:val="2"/>
        </w:numPr>
        <w:spacing w:before="100" w:beforeAutospacing="1" w:after="100" w:afterAutospacing="1"/>
        <w:rPr>
          <w:rFonts w:eastAsia="Times New Roman"/>
          <w:sz w:val="24"/>
          <w:szCs w:val="24"/>
        </w:rPr>
      </w:pPr>
      <w:r w:rsidRPr="00057752">
        <w:rPr>
          <w:rFonts w:eastAsia="Times New Roman"/>
          <w:b/>
          <w:bCs/>
          <w:sz w:val="24"/>
          <w:szCs w:val="24"/>
        </w:rPr>
        <w:t>Fabrication</w:t>
      </w:r>
      <w:r w:rsidRPr="00057752">
        <w:rPr>
          <w:rFonts w:eastAsia="Times New Roman"/>
          <w:sz w:val="24"/>
          <w:szCs w:val="24"/>
        </w:rPr>
        <w:t> intentional and unauthorized falsification or invention of any information or citation in an academic exercise.</w:t>
      </w:r>
    </w:p>
    <w:p w:rsidR="00057752" w:rsidRPr="00057752" w:rsidRDefault="00057752" w:rsidP="00057752">
      <w:pPr>
        <w:numPr>
          <w:ilvl w:val="0"/>
          <w:numId w:val="2"/>
        </w:numPr>
        <w:spacing w:before="100" w:beforeAutospacing="1" w:after="100" w:afterAutospacing="1"/>
        <w:rPr>
          <w:rFonts w:eastAsia="Times New Roman"/>
          <w:sz w:val="24"/>
          <w:szCs w:val="24"/>
        </w:rPr>
      </w:pPr>
      <w:r w:rsidRPr="00057752">
        <w:rPr>
          <w:rFonts w:eastAsia="Times New Roman"/>
          <w:b/>
          <w:bCs/>
          <w:sz w:val="24"/>
          <w:szCs w:val="24"/>
        </w:rPr>
        <w:t>Facilitating academic dishonesty</w:t>
      </w:r>
      <w:r w:rsidRPr="00057752">
        <w:rPr>
          <w:rFonts w:eastAsia="Times New Roman"/>
          <w:sz w:val="24"/>
          <w:szCs w:val="24"/>
        </w:rPr>
        <w:t> intentionally or knowingly helping or attempting to help another to violate a provision of the institutional code of academic integrity.</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You are encouraged to become familiar with the University's Policy of Academic dishonesty found in the </w:t>
      </w:r>
      <w:hyperlink r:id="rId17" w:history="1">
        <w:r w:rsidRPr="00057752">
          <w:rPr>
            <w:rFonts w:eastAsia="Times New Roman"/>
            <w:color w:val="0000FF"/>
            <w:sz w:val="24"/>
            <w:szCs w:val="24"/>
            <w:u w:val="single"/>
          </w:rPr>
          <w:t>Student Handbook</w:t>
        </w:r>
      </w:hyperlink>
      <w:r w:rsidRPr="00057752">
        <w:rPr>
          <w:rFonts w:eastAsia="Times New Roman"/>
          <w:sz w:val="24"/>
          <w:szCs w:val="24"/>
        </w:rPr>
        <w:t>.</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ADA Policy</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 xml:space="preserve">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(ADA), pursuant to section 504 of the </w:t>
      </w:r>
      <w:r w:rsidRPr="00057752">
        <w:rPr>
          <w:rFonts w:eastAsia="Times New Roman"/>
          <w:sz w:val="24"/>
          <w:szCs w:val="24"/>
        </w:rPr>
        <w:lastRenderedPageBreak/>
        <w:t>Rehabilitation Act, there is renewed focus on providing this population with the same opportunities enjoyed by all citizens.</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As a faculty member, I am required by law to provide "reasonable accommodations" to students with disabilities, so as not to discriminate on the basis of that disability. </w:t>
      </w:r>
      <w:r w:rsidRPr="00057752">
        <w:rPr>
          <w:rFonts w:eastAsia="Times New Roman"/>
          <w:b/>
          <w:bCs/>
          <w:sz w:val="24"/>
          <w:szCs w:val="24"/>
        </w:rPr>
        <w:t>Student responsibility</w:t>
      </w:r>
      <w:r w:rsidRPr="00057752">
        <w:rPr>
          <w:rFonts w:eastAsia="Times New Roman"/>
          <w:sz w:val="24"/>
          <w:szCs w:val="24"/>
        </w:rPr>
        <w:t> primarily rests with informing faculty of their need for accommodation and in providing authorized documentation through designated administrative channels. Information regarding specific diagnostic criteria and policies for obtaining academic accommodations can be found </w:t>
      </w:r>
      <w:hyperlink r:id="rId18" w:history="1">
        <w:r w:rsidRPr="00057752">
          <w:rPr>
            <w:rFonts w:eastAsia="Times New Roman"/>
            <w:color w:val="0000FF"/>
            <w:sz w:val="24"/>
            <w:szCs w:val="24"/>
            <w:u w:val="single"/>
          </w:rPr>
          <w:t>here</w:t>
        </w:r>
      </w:hyperlink>
      <w:r w:rsidRPr="00057752">
        <w:rPr>
          <w:rFonts w:eastAsia="Times New Roman"/>
          <w:sz w:val="24"/>
          <w:szCs w:val="24"/>
        </w:rPr>
        <w:t>. Also, you may visit the Office of Disability Accommodation in the University Union (room 321) or call them at (940) 565-4323.</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Add/Drop Policy</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Refer to the UNT Office of the Registrar concerning </w:t>
      </w:r>
      <w:hyperlink r:id="rId19" w:history="1">
        <w:r w:rsidRPr="00057752">
          <w:rPr>
            <w:rFonts w:eastAsia="Times New Roman"/>
            <w:color w:val="0000FF"/>
            <w:sz w:val="24"/>
            <w:szCs w:val="24"/>
            <w:u w:val="single"/>
          </w:rPr>
          <w:t>Add/Drop Periods</w:t>
        </w:r>
      </w:hyperlink>
      <w:r w:rsidRPr="00057752">
        <w:rPr>
          <w:rFonts w:eastAsia="Times New Roman"/>
          <w:sz w:val="24"/>
          <w:szCs w:val="24"/>
        </w:rPr>
        <w:t> for this semester.</w:t>
      </w:r>
    </w:p>
    <w:p w:rsidR="00057752" w:rsidRPr="00057752" w:rsidRDefault="00057752" w:rsidP="00057752">
      <w:pPr>
        <w:spacing w:before="100" w:beforeAutospacing="1" w:after="100" w:afterAutospacing="1"/>
        <w:outlineLvl w:val="1"/>
        <w:rPr>
          <w:rFonts w:eastAsia="Times New Roman"/>
          <w:b/>
          <w:bCs/>
          <w:sz w:val="36"/>
          <w:szCs w:val="36"/>
        </w:rPr>
      </w:pPr>
      <w:r w:rsidRPr="00057752">
        <w:rPr>
          <w:rFonts w:eastAsia="Times New Roman"/>
          <w:b/>
          <w:bCs/>
          <w:sz w:val="36"/>
          <w:szCs w:val="36"/>
        </w:rPr>
        <w:t>Important Notice for F-1 Students taking Distance Education Courses</w:t>
      </w:r>
    </w:p>
    <w:p w:rsidR="00057752" w:rsidRPr="00057752" w:rsidRDefault="00057752" w:rsidP="00057752">
      <w:pPr>
        <w:spacing w:before="100" w:beforeAutospacing="1" w:after="100" w:afterAutospacing="1"/>
        <w:outlineLvl w:val="2"/>
        <w:rPr>
          <w:rFonts w:eastAsia="Times New Roman"/>
          <w:b/>
          <w:bCs/>
          <w:sz w:val="27"/>
          <w:szCs w:val="27"/>
        </w:rPr>
      </w:pPr>
      <w:r w:rsidRPr="00057752">
        <w:rPr>
          <w:rFonts w:eastAsia="Times New Roman"/>
          <w:b/>
          <w:bCs/>
          <w:sz w:val="27"/>
          <w:szCs w:val="27"/>
        </w:rPr>
        <w:t>Federal Regulation</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To read detailed Immigration and Customs Enforcement regulations for F-1 students taking online courses, please go to the </w:t>
      </w:r>
      <w:hyperlink r:id="rId20" w:history="1">
        <w:r w:rsidRPr="00057752">
          <w:rPr>
            <w:rFonts w:eastAsia="Times New Roman"/>
            <w:color w:val="0000FF"/>
            <w:sz w:val="24"/>
            <w:szCs w:val="24"/>
            <w:u w:val="single"/>
          </w:rPr>
          <w:t>Electronic Code of Federal Regulations website</w:t>
        </w:r>
      </w:hyperlink>
      <w:r w:rsidRPr="00057752">
        <w:rPr>
          <w:rFonts w:eastAsia="Times New Roman"/>
          <w:sz w:val="24"/>
          <w:szCs w:val="24"/>
        </w:rPr>
        <w:t>. The specific portion concerning distance education courses is located at "Title 8 CFR 214.2 Paragraph (f)(6)(i)(G)" and can be found buried within this document: </w:t>
      </w:r>
      <w:hyperlink r:id="rId21" w:history="1">
        <w:r w:rsidRPr="00057752">
          <w:rPr>
            <w:rFonts w:eastAsia="Times New Roman"/>
            <w:color w:val="0000FF"/>
            <w:sz w:val="24"/>
            <w:szCs w:val="24"/>
            <w:u w:val="single"/>
          </w:rPr>
          <w:t>http://frwebgate.access.gpo.gov/cgi-bin/get-cfr.cgi?TITLE=8&amp;PART=214&amp;SECTION=2&amp;TYPE=TEXT</w:t>
        </w:r>
      </w:hyperlink>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The paragraph reads: </w:t>
      </w:r>
      <w:r w:rsidRPr="00057752">
        <w:rPr>
          <w:rFonts w:eastAsia="Times New Roman"/>
          <w:sz w:val="24"/>
          <w:szCs w:val="24"/>
        </w:rPr>
        <w:b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057752" w:rsidRPr="00057752" w:rsidRDefault="00057752" w:rsidP="00057752">
      <w:pPr>
        <w:spacing w:before="100" w:beforeAutospacing="1" w:after="100" w:afterAutospacing="1"/>
        <w:outlineLvl w:val="2"/>
        <w:rPr>
          <w:rFonts w:eastAsia="Times New Roman"/>
          <w:b/>
          <w:bCs/>
          <w:sz w:val="27"/>
          <w:szCs w:val="27"/>
        </w:rPr>
      </w:pPr>
      <w:r w:rsidRPr="00057752">
        <w:rPr>
          <w:rFonts w:eastAsia="Times New Roman"/>
          <w:b/>
          <w:bCs/>
          <w:sz w:val="27"/>
          <w:szCs w:val="27"/>
        </w:rPr>
        <w:t>University of North Texas Compliance</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An F-1 visa holder within the United States may need to engage in an on-campus experiential component for this course to maintain compliance.</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It is the student's responsibility to do the following:</w:t>
      </w:r>
    </w:p>
    <w:p w:rsidR="00057752" w:rsidRPr="00057752" w:rsidRDefault="00057752" w:rsidP="00057752">
      <w:pPr>
        <w:numPr>
          <w:ilvl w:val="0"/>
          <w:numId w:val="3"/>
        </w:numPr>
        <w:spacing w:before="100" w:beforeAutospacing="1" w:after="100" w:afterAutospacing="1"/>
        <w:rPr>
          <w:rFonts w:eastAsia="Times New Roman"/>
          <w:sz w:val="24"/>
          <w:szCs w:val="24"/>
        </w:rPr>
      </w:pPr>
      <w:r w:rsidRPr="00057752">
        <w:rPr>
          <w:rFonts w:eastAsia="Times New Roman"/>
          <w:sz w:val="24"/>
          <w:szCs w:val="24"/>
        </w:rPr>
        <w:lastRenderedPageBreak/>
        <w:t>Submit a written request to the instructor for an on-campus experiential component within one week of the start of the course.</w:t>
      </w:r>
    </w:p>
    <w:p w:rsidR="00057752" w:rsidRPr="00057752" w:rsidRDefault="00057752" w:rsidP="00057752">
      <w:pPr>
        <w:numPr>
          <w:ilvl w:val="0"/>
          <w:numId w:val="3"/>
        </w:numPr>
        <w:spacing w:before="100" w:beforeAutospacing="1" w:after="100" w:afterAutospacing="1"/>
        <w:rPr>
          <w:rFonts w:eastAsia="Times New Roman"/>
          <w:sz w:val="24"/>
          <w:szCs w:val="24"/>
        </w:rPr>
      </w:pPr>
      <w:r w:rsidRPr="00057752">
        <w:rPr>
          <w:rFonts w:eastAsia="Times New Roman"/>
          <w:sz w:val="24"/>
          <w:szCs w:val="24"/>
        </w:rPr>
        <w:t>Ensure that the activity on campus takes place and the instructor documents it in writing with a notice sent to the International Student and Scholar Services Office using appropriate ISSS form available.</w:t>
      </w:r>
    </w:p>
    <w:p w:rsidR="00057752" w:rsidRPr="00057752" w:rsidRDefault="00057752" w:rsidP="00057752">
      <w:pPr>
        <w:spacing w:before="100" w:beforeAutospacing="1" w:after="100" w:afterAutospacing="1"/>
        <w:rPr>
          <w:rFonts w:eastAsia="Times New Roman"/>
          <w:sz w:val="24"/>
          <w:szCs w:val="24"/>
        </w:rPr>
      </w:pPr>
      <w:r w:rsidRPr="00057752">
        <w:rPr>
          <w:rFonts w:eastAsia="Times New Roman"/>
          <w:sz w:val="24"/>
          <w:szCs w:val="24"/>
        </w:rPr>
        <w:t>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internationaladvising@unt.edu) to get clarification before the one-week deadline.</w:t>
      </w:r>
    </w:p>
    <w:p w:rsidR="004A14F0" w:rsidRDefault="004A14F0"/>
    <w:sectPr w:rsidR="004A14F0" w:rsidSect="00BE7C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7310"/>
    <w:multiLevelType w:val="multilevel"/>
    <w:tmpl w:val="1B5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B084C"/>
    <w:multiLevelType w:val="multilevel"/>
    <w:tmpl w:val="12D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13425"/>
    <w:multiLevelType w:val="multilevel"/>
    <w:tmpl w:val="569E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52"/>
    <w:rsid w:val="00057752"/>
    <w:rsid w:val="00150983"/>
    <w:rsid w:val="00423EC6"/>
    <w:rsid w:val="004A14F0"/>
    <w:rsid w:val="006C6A96"/>
    <w:rsid w:val="00720D22"/>
    <w:rsid w:val="00AC1892"/>
    <w:rsid w:val="00BE7CC6"/>
    <w:rsid w:val="00C214F8"/>
    <w:rsid w:val="00F6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83"/>
  </w:style>
  <w:style w:type="paragraph" w:styleId="Heading1">
    <w:name w:val="heading 1"/>
    <w:basedOn w:val="Normal"/>
    <w:next w:val="Normal"/>
    <w:link w:val="Heading1Char"/>
    <w:uiPriority w:val="9"/>
    <w:qFormat/>
    <w:rsid w:val="00AC18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C189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C189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C189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C189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C1892"/>
    <w:pPr>
      <w:spacing w:before="240" w:after="60"/>
      <w:outlineLvl w:val="5"/>
    </w:pPr>
    <w:rPr>
      <w:rFonts w:cstheme="majorBidi"/>
      <w:b/>
      <w:bCs/>
      <w:sz w:val="22"/>
    </w:rPr>
  </w:style>
  <w:style w:type="paragraph" w:styleId="Heading7">
    <w:name w:val="heading 7"/>
    <w:basedOn w:val="Normal"/>
    <w:next w:val="Normal"/>
    <w:link w:val="Heading7Char"/>
    <w:uiPriority w:val="9"/>
    <w:semiHidden/>
    <w:unhideWhenUsed/>
    <w:qFormat/>
    <w:rsid w:val="00AC189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C189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C1892"/>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C18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C18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AC1892"/>
    <w:rPr>
      <w:rFonts w:cstheme="majorBidi"/>
      <w:b/>
      <w:bCs/>
      <w:sz w:val="28"/>
      <w:szCs w:val="28"/>
    </w:rPr>
  </w:style>
  <w:style w:type="character" w:customStyle="1" w:styleId="Heading5Char">
    <w:name w:val="Heading 5 Char"/>
    <w:basedOn w:val="DefaultParagraphFont"/>
    <w:link w:val="Heading5"/>
    <w:uiPriority w:val="9"/>
    <w:semiHidden/>
    <w:rsid w:val="00AC1892"/>
    <w:rPr>
      <w:rFonts w:cstheme="majorBidi"/>
      <w:b/>
      <w:bCs/>
      <w:i/>
      <w:iCs/>
      <w:sz w:val="26"/>
      <w:szCs w:val="26"/>
    </w:rPr>
  </w:style>
  <w:style w:type="character" w:customStyle="1" w:styleId="Heading6Char">
    <w:name w:val="Heading 6 Char"/>
    <w:basedOn w:val="DefaultParagraphFont"/>
    <w:link w:val="Heading6"/>
    <w:uiPriority w:val="9"/>
    <w:semiHidden/>
    <w:rsid w:val="00AC1892"/>
    <w:rPr>
      <w:rFonts w:cstheme="majorBidi"/>
      <w:b/>
      <w:bCs/>
    </w:rPr>
  </w:style>
  <w:style w:type="character" w:customStyle="1" w:styleId="Heading7Char">
    <w:name w:val="Heading 7 Char"/>
    <w:basedOn w:val="DefaultParagraphFont"/>
    <w:link w:val="Heading7"/>
    <w:uiPriority w:val="9"/>
    <w:semiHidden/>
    <w:rsid w:val="00AC1892"/>
    <w:rPr>
      <w:rFonts w:cstheme="majorBidi"/>
      <w:sz w:val="24"/>
      <w:szCs w:val="24"/>
    </w:rPr>
  </w:style>
  <w:style w:type="character" w:customStyle="1" w:styleId="Heading8Char">
    <w:name w:val="Heading 8 Char"/>
    <w:basedOn w:val="DefaultParagraphFont"/>
    <w:link w:val="Heading8"/>
    <w:uiPriority w:val="9"/>
    <w:semiHidden/>
    <w:rsid w:val="00AC1892"/>
    <w:rPr>
      <w:rFonts w:cstheme="majorBidi"/>
      <w:i/>
      <w:iCs/>
      <w:sz w:val="24"/>
      <w:szCs w:val="24"/>
    </w:rPr>
  </w:style>
  <w:style w:type="character" w:customStyle="1" w:styleId="Heading9Char">
    <w:name w:val="Heading 9 Char"/>
    <w:basedOn w:val="DefaultParagraphFont"/>
    <w:link w:val="Heading9"/>
    <w:uiPriority w:val="9"/>
    <w:semiHidden/>
    <w:rsid w:val="00AC1892"/>
    <w:rPr>
      <w:rFonts w:asciiTheme="majorHAnsi" w:eastAsiaTheme="majorEastAsia" w:hAnsiTheme="majorHAnsi" w:cstheme="majorBidi"/>
    </w:rPr>
  </w:style>
  <w:style w:type="paragraph" w:styleId="Title">
    <w:name w:val="Title"/>
    <w:basedOn w:val="Normal"/>
    <w:next w:val="Normal"/>
    <w:link w:val="TitleChar"/>
    <w:uiPriority w:val="10"/>
    <w:qFormat/>
    <w:rsid w:val="00AC18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C189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C18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1892"/>
    <w:rPr>
      <w:rFonts w:asciiTheme="majorHAnsi" w:eastAsiaTheme="majorEastAsia" w:hAnsiTheme="majorHAnsi"/>
      <w:sz w:val="24"/>
      <w:szCs w:val="24"/>
    </w:rPr>
  </w:style>
  <w:style w:type="character" w:styleId="Strong">
    <w:name w:val="Strong"/>
    <w:basedOn w:val="DefaultParagraphFont"/>
    <w:uiPriority w:val="22"/>
    <w:qFormat/>
    <w:rsid w:val="00AC1892"/>
    <w:rPr>
      <w:b/>
      <w:bCs/>
    </w:rPr>
  </w:style>
  <w:style w:type="character" w:styleId="Emphasis">
    <w:name w:val="Emphasis"/>
    <w:basedOn w:val="DefaultParagraphFont"/>
    <w:uiPriority w:val="20"/>
    <w:qFormat/>
    <w:rsid w:val="00AC1892"/>
    <w:rPr>
      <w:rFonts w:asciiTheme="minorHAnsi" w:hAnsiTheme="minorHAnsi"/>
      <w:b/>
      <w:i/>
      <w:iCs/>
    </w:rPr>
  </w:style>
  <w:style w:type="paragraph" w:styleId="NoSpacing">
    <w:name w:val="No Spacing"/>
    <w:basedOn w:val="Normal"/>
    <w:link w:val="NoSpacingChar"/>
    <w:uiPriority w:val="1"/>
    <w:qFormat/>
    <w:rsid w:val="00AC1892"/>
    <w:rPr>
      <w:szCs w:val="32"/>
    </w:rPr>
  </w:style>
  <w:style w:type="paragraph" w:styleId="ListParagraph">
    <w:name w:val="List Paragraph"/>
    <w:basedOn w:val="Normal"/>
    <w:uiPriority w:val="34"/>
    <w:qFormat/>
    <w:rsid w:val="00AC1892"/>
    <w:pPr>
      <w:ind w:left="720"/>
      <w:contextualSpacing/>
    </w:pPr>
  </w:style>
  <w:style w:type="paragraph" w:styleId="Quote">
    <w:name w:val="Quote"/>
    <w:basedOn w:val="Normal"/>
    <w:next w:val="Normal"/>
    <w:link w:val="QuoteChar"/>
    <w:uiPriority w:val="29"/>
    <w:qFormat/>
    <w:rsid w:val="00AC1892"/>
    <w:rPr>
      <w:rFonts w:cstheme="majorBidi"/>
      <w:i/>
    </w:rPr>
  </w:style>
  <w:style w:type="character" w:customStyle="1" w:styleId="QuoteChar">
    <w:name w:val="Quote Char"/>
    <w:basedOn w:val="DefaultParagraphFont"/>
    <w:link w:val="Quote"/>
    <w:uiPriority w:val="29"/>
    <w:rsid w:val="00AC1892"/>
    <w:rPr>
      <w:rFonts w:cstheme="majorBidi"/>
      <w:i/>
      <w:sz w:val="24"/>
      <w:szCs w:val="24"/>
    </w:rPr>
  </w:style>
  <w:style w:type="paragraph" w:styleId="IntenseQuote">
    <w:name w:val="Intense Quote"/>
    <w:basedOn w:val="Normal"/>
    <w:next w:val="Normal"/>
    <w:link w:val="IntenseQuoteChar"/>
    <w:uiPriority w:val="30"/>
    <w:qFormat/>
    <w:rsid w:val="00AC1892"/>
    <w:pPr>
      <w:ind w:left="720" w:right="720"/>
    </w:pPr>
    <w:rPr>
      <w:rFonts w:cstheme="majorBidi"/>
      <w:b/>
      <w:i/>
    </w:rPr>
  </w:style>
  <w:style w:type="character" w:customStyle="1" w:styleId="IntenseQuoteChar">
    <w:name w:val="Intense Quote Char"/>
    <w:basedOn w:val="DefaultParagraphFont"/>
    <w:link w:val="IntenseQuote"/>
    <w:uiPriority w:val="30"/>
    <w:rsid w:val="00AC1892"/>
    <w:rPr>
      <w:rFonts w:cstheme="majorBidi"/>
      <w:b/>
      <w:i/>
      <w:sz w:val="24"/>
    </w:rPr>
  </w:style>
  <w:style w:type="character" w:styleId="SubtleEmphasis">
    <w:name w:val="Subtle Emphasis"/>
    <w:uiPriority w:val="19"/>
    <w:qFormat/>
    <w:rsid w:val="00AC1892"/>
    <w:rPr>
      <w:i/>
      <w:color w:val="5A5A5A" w:themeColor="text1" w:themeTint="A5"/>
    </w:rPr>
  </w:style>
  <w:style w:type="character" w:styleId="IntenseEmphasis">
    <w:name w:val="Intense Emphasis"/>
    <w:basedOn w:val="DefaultParagraphFont"/>
    <w:uiPriority w:val="21"/>
    <w:qFormat/>
    <w:rsid w:val="00AC1892"/>
    <w:rPr>
      <w:b/>
      <w:i/>
      <w:sz w:val="24"/>
      <w:szCs w:val="24"/>
      <w:u w:val="single"/>
    </w:rPr>
  </w:style>
  <w:style w:type="character" w:styleId="SubtleReference">
    <w:name w:val="Subtle Reference"/>
    <w:basedOn w:val="DefaultParagraphFont"/>
    <w:uiPriority w:val="31"/>
    <w:qFormat/>
    <w:rsid w:val="00AC1892"/>
    <w:rPr>
      <w:sz w:val="24"/>
      <w:szCs w:val="24"/>
      <w:u w:val="single"/>
    </w:rPr>
  </w:style>
  <w:style w:type="character" w:styleId="IntenseReference">
    <w:name w:val="Intense Reference"/>
    <w:basedOn w:val="DefaultParagraphFont"/>
    <w:uiPriority w:val="32"/>
    <w:qFormat/>
    <w:rsid w:val="00AC1892"/>
    <w:rPr>
      <w:b/>
      <w:sz w:val="24"/>
      <w:u w:val="single"/>
    </w:rPr>
  </w:style>
  <w:style w:type="character" w:styleId="BookTitle">
    <w:name w:val="Book Title"/>
    <w:basedOn w:val="DefaultParagraphFont"/>
    <w:uiPriority w:val="33"/>
    <w:qFormat/>
    <w:rsid w:val="00AC18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1892"/>
    <w:pPr>
      <w:outlineLvl w:val="9"/>
    </w:pPr>
  </w:style>
  <w:style w:type="character" w:customStyle="1" w:styleId="NoSpacingChar">
    <w:name w:val="No Spacing Char"/>
    <w:basedOn w:val="DefaultParagraphFont"/>
    <w:link w:val="NoSpacing"/>
    <w:uiPriority w:val="1"/>
    <w:rsid w:val="00AC1892"/>
    <w:rPr>
      <w:sz w:val="24"/>
      <w:szCs w:val="32"/>
    </w:rPr>
  </w:style>
  <w:style w:type="paragraph" w:customStyle="1" w:styleId="indent">
    <w:name w:val="indent"/>
    <w:basedOn w:val="Normal"/>
    <w:rsid w:val="00057752"/>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057752"/>
    <w:rPr>
      <w:color w:val="0000FF"/>
      <w:u w:val="single"/>
    </w:rPr>
  </w:style>
  <w:style w:type="paragraph" w:styleId="NormalWeb">
    <w:name w:val="Normal (Web)"/>
    <w:basedOn w:val="Normal"/>
    <w:uiPriority w:val="99"/>
    <w:unhideWhenUsed/>
    <w:rsid w:val="0005775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83"/>
  </w:style>
  <w:style w:type="paragraph" w:styleId="Heading1">
    <w:name w:val="heading 1"/>
    <w:basedOn w:val="Normal"/>
    <w:next w:val="Normal"/>
    <w:link w:val="Heading1Char"/>
    <w:uiPriority w:val="9"/>
    <w:qFormat/>
    <w:rsid w:val="00AC18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C189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C189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AC189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C189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C1892"/>
    <w:pPr>
      <w:spacing w:before="240" w:after="60"/>
      <w:outlineLvl w:val="5"/>
    </w:pPr>
    <w:rPr>
      <w:rFonts w:cstheme="majorBidi"/>
      <w:b/>
      <w:bCs/>
      <w:sz w:val="22"/>
    </w:rPr>
  </w:style>
  <w:style w:type="paragraph" w:styleId="Heading7">
    <w:name w:val="heading 7"/>
    <w:basedOn w:val="Normal"/>
    <w:next w:val="Normal"/>
    <w:link w:val="Heading7Char"/>
    <w:uiPriority w:val="9"/>
    <w:semiHidden/>
    <w:unhideWhenUsed/>
    <w:qFormat/>
    <w:rsid w:val="00AC189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C189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C1892"/>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C18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C18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AC1892"/>
    <w:rPr>
      <w:rFonts w:cstheme="majorBidi"/>
      <w:b/>
      <w:bCs/>
      <w:sz w:val="28"/>
      <w:szCs w:val="28"/>
    </w:rPr>
  </w:style>
  <w:style w:type="character" w:customStyle="1" w:styleId="Heading5Char">
    <w:name w:val="Heading 5 Char"/>
    <w:basedOn w:val="DefaultParagraphFont"/>
    <w:link w:val="Heading5"/>
    <w:uiPriority w:val="9"/>
    <w:semiHidden/>
    <w:rsid w:val="00AC1892"/>
    <w:rPr>
      <w:rFonts w:cstheme="majorBidi"/>
      <w:b/>
      <w:bCs/>
      <w:i/>
      <w:iCs/>
      <w:sz w:val="26"/>
      <w:szCs w:val="26"/>
    </w:rPr>
  </w:style>
  <w:style w:type="character" w:customStyle="1" w:styleId="Heading6Char">
    <w:name w:val="Heading 6 Char"/>
    <w:basedOn w:val="DefaultParagraphFont"/>
    <w:link w:val="Heading6"/>
    <w:uiPriority w:val="9"/>
    <w:semiHidden/>
    <w:rsid w:val="00AC1892"/>
    <w:rPr>
      <w:rFonts w:cstheme="majorBidi"/>
      <w:b/>
      <w:bCs/>
    </w:rPr>
  </w:style>
  <w:style w:type="character" w:customStyle="1" w:styleId="Heading7Char">
    <w:name w:val="Heading 7 Char"/>
    <w:basedOn w:val="DefaultParagraphFont"/>
    <w:link w:val="Heading7"/>
    <w:uiPriority w:val="9"/>
    <w:semiHidden/>
    <w:rsid w:val="00AC1892"/>
    <w:rPr>
      <w:rFonts w:cstheme="majorBidi"/>
      <w:sz w:val="24"/>
      <w:szCs w:val="24"/>
    </w:rPr>
  </w:style>
  <w:style w:type="character" w:customStyle="1" w:styleId="Heading8Char">
    <w:name w:val="Heading 8 Char"/>
    <w:basedOn w:val="DefaultParagraphFont"/>
    <w:link w:val="Heading8"/>
    <w:uiPriority w:val="9"/>
    <w:semiHidden/>
    <w:rsid w:val="00AC1892"/>
    <w:rPr>
      <w:rFonts w:cstheme="majorBidi"/>
      <w:i/>
      <w:iCs/>
      <w:sz w:val="24"/>
      <w:szCs w:val="24"/>
    </w:rPr>
  </w:style>
  <w:style w:type="character" w:customStyle="1" w:styleId="Heading9Char">
    <w:name w:val="Heading 9 Char"/>
    <w:basedOn w:val="DefaultParagraphFont"/>
    <w:link w:val="Heading9"/>
    <w:uiPriority w:val="9"/>
    <w:semiHidden/>
    <w:rsid w:val="00AC1892"/>
    <w:rPr>
      <w:rFonts w:asciiTheme="majorHAnsi" w:eastAsiaTheme="majorEastAsia" w:hAnsiTheme="majorHAnsi" w:cstheme="majorBidi"/>
    </w:rPr>
  </w:style>
  <w:style w:type="paragraph" w:styleId="Title">
    <w:name w:val="Title"/>
    <w:basedOn w:val="Normal"/>
    <w:next w:val="Normal"/>
    <w:link w:val="TitleChar"/>
    <w:uiPriority w:val="10"/>
    <w:qFormat/>
    <w:rsid w:val="00AC18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C189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C18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1892"/>
    <w:rPr>
      <w:rFonts w:asciiTheme="majorHAnsi" w:eastAsiaTheme="majorEastAsia" w:hAnsiTheme="majorHAnsi"/>
      <w:sz w:val="24"/>
      <w:szCs w:val="24"/>
    </w:rPr>
  </w:style>
  <w:style w:type="character" w:styleId="Strong">
    <w:name w:val="Strong"/>
    <w:basedOn w:val="DefaultParagraphFont"/>
    <w:uiPriority w:val="22"/>
    <w:qFormat/>
    <w:rsid w:val="00AC1892"/>
    <w:rPr>
      <w:b/>
      <w:bCs/>
    </w:rPr>
  </w:style>
  <w:style w:type="character" w:styleId="Emphasis">
    <w:name w:val="Emphasis"/>
    <w:basedOn w:val="DefaultParagraphFont"/>
    <w:uiPriority w:val="20"/>
    <w:qFormat/>
    <w:rsid w:val="00AC1892"/>
    <w:rPr>
      <w:rFonts w:asciiTheme="minorHAnsi" w:hAnsiTheme="minorHAnsi"/>
      <w:b/>
      <w:i/>
      <w:iCs/>
    </w:rPr>
  </w:style>
  <w:style w:type="paragraph" w:styleId="NoSpacing">
    <w:name w:val="No Spacing"/>
    <w:basedOn w:val="Normal"/>
    <w:link w:val="NoSpacingChar"/>
    <w:uiPriority w:val="1"/>
    <w:qFormat/>
    <w:rsid w:val="00AC1892"/>
    <w:rPr>
      <w:szCs w:val="32"/>
    </w:rPr>
  </w:style>
  <w:style w:type="paragraph" w:styleId="ListParagraph">
    <w:name w:val="List Paragraph"/>
    <w:basedOn w:val="Normal"/>
    <w:uiPriority w:val="34"/>
    <w:qFormat/>
    <w:rsid w:val="00AC1892"/>
    <w:pPr>
      <w:ind w:left="720"/>
      <w:contextualSpacing/>
    </w:pPr>
  </w:style>
  <w:style w:type="paragraph" w:styleId="Quote">
    <w:name w:val="Quote"/>
    <w:basedOn w:val="Normal"/>
    <w:next w:val="Normal"/>
    <w:link w:val="QuoteChar"/>
    <w:uiPriority w:val="29"/>
    <w:qFormat/>
    <w:rsid w:val="00AC1892"/>
    <w:rPr>
      <w:rFonts w:cstheme="majorBidi"/>
      <w:i/>
    </w:rPr>
  </w:style>
  <w:style w:type="character" w:customStyle="1" w:styleId="QuoteChar">
    <w:name w:val="Quote Char"/>
    <w:basedOn w:val="DefaultParagraphFont"/>
    <w:link w:val="Quote"/>
    <w:uiPriority w:val="29"/>
    <w:rsid w:val="00AC1892"/>
    <w:rPr>
      <w:rFonts w:cstheme="majorBidi"/>
      <w:i/>
      <w:sz w:val="24"/>
      <w:szCs w:val="24"/>
    </w:rPr>
  </w:style>
  <w:style w:type="paragraph" w:styleId="IntenseQuote">
    <w:name w:val="Intense Quote"/>
    <w:basedOn w:val="Normal"/>
    <w:next w:val="Normal"/>
    <w:link w:val="IntenseQuoteChar"/>
    <w:uiPriority w:val="30"/>
    <w:qFormat/>
    <w:rsid w:val="00AC1892"/>
    <w:pPr>
      <w:ind w:left="720" w:right="720"/>
    </w:pPr>
    <w:rPr>
      <w:rFonts w:cstheme="majorBidi"/>
      <w:b/>
      <w:i/>
    </w:rPr>
  </w:style>
  <w:style w:type="character" w:customStyle="1" w:styleId="IntenseQuoteChar">
    <w:name w:val="Intense Quote Char"/>
    <w:basedOn w:val="DefaultParagraphFont"/>
    <w:link w:val="IntenseQuote"/>
    <w:uiPriority w:val="30"/>
    <w:rsid w:val="00AC1892"/>
    <w:rPr>
      <w:rFonts w:cstheme="majorBidi"/>
      <w:b/>
      <w:i/>
      <w:sz w:val="24"/>
    </w:rPr>
  </w:style>
  <w:style w:type="character" w:styleId="SubtleEmphasis">
    <w:name w:val="Subtle Emphasis"/>
    <w:uiPriority w:val="19"/>
    <w:qFormat/>
    <w:rsid w:val="00AC1892"/>
    <w:rPr>
      <w:i/>
      <w:color w:val="5A5A5A" w:themeColor="text1" w:themeTint="A5"/>
    </w:rPr>
  </w:style>
  <w:style w:type="character" w:styleId="IntenseEmphasis">
    <w:name w:val="Intense Emphasis"/>
    <w:basedOn w:val="DefaultParagraphFont"/>
    <w:uiPriority w:val="21"/>
    <w:qFormat/>
    <w:rsid w:val="00AC1892"/>
    <w:rPr>
      <w:b/>
      <w:i/>
      <w:sz w:val="24"/>
      <w:szCs w:val="24"/>
      <w:u w:val="single"/>
    </w:rPr>
  </w:style>
  <w:style w:type="character" w:styleId="SubtleReference">
    <w:name w:val="Subtle Reference"/>
    <w:basedOn w:val="DefaultParagraphFont"/>
    <w:uiPriority w:val="31"/>
    <w:qFormat/>
    <w:rsid w:val="00AC1892"/>
    <w:rPr>
      <w:sz w:val="24"/>
      <w:szCs w:val="24"/>
      <w:u w:val="single"/>
    </w:rPr>
  </w:style>
  <w:style w:type="character" w:styleId="IntenseReference">
    <w:name w:val="Intense Reference"/>
    <w:basedOn w:val="DefaultParagraphFont"/>
    <w:uiPriority w:val="32"/>
    <w:qFormat/>
    <w:rsid w:val="00AC1892"/>
    <w:rPr>
      <w:b/>
      <w:sz w:val="24"/>
      <w:u w:val="single"/>
    </w:rPr>
  </w:style>
  <w:style w:type="character" w:styleId="BookTitle">
    <w:name w:val="Book Title"/>
    <w:basedOn w:val="DefaultParagraphFont"/>
    <w:uiPriority w:val="33"/>
    <w:qFormat/>
    <w:rsid w:val="00AC18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1892"/>
    <w:pPr>
      <w:outlineLvl w:val="9"/>
    </w:pPr>
  </w:style>
  <w:style w:type="character" w:customStyle="1" w:styleId="NoSpacingChar">
    <w:name w:val="No Spacing Char"/>
    <w:basedOn w:val="DefaultParagraphFont"/>
    <w:link w:val="NoSpacing"/>
    <w:uiPriority w:val="1"/>
    <w:rsid w:val="00AC1892"/>
    <w:rPr>
      <w:sz w:val="24"/>
      <w:szCs w:val="32"/>
    </w:rPr>
  </w:style>
  <w:style w:type="paragraph" w:customStyle="1" w:styleId="indent">
    <w:name w:val="indent"/>
    <w:basedOn w:val="Normal"/>
    <w:rsid w:val="00057752"/>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057752"/>
    <w:rPr>
      <w:color w:val="0000FF"/>
      <w:u w:val="single"/>
    </w:rPr>
  </w:style>
  <w:style w:type="paragraph" w:styleId="NormalWeb">
    <w:name w:val="Normal (Web)"/>
    <w:basedOn w:val="Normal"/>
    <w:uiPriority w:val="99"/>
    <w:unhideWhenUsed/>
    <w:rsid w:val="0005775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633">
      <w:bodyDiv w:val="1"/>
      <w:marLeft w:val="0"/>
      <w:marRight w:val="0"/>
      <w:marTop w:val="0"/>
      <w:marBottom w:val="0"/>
      <w:divBdr>
        <w:top w:val="none" w:sz="0" w:space="0" w:color="auto"/>
        <w:left w:val="none" w:sz="0" w:space="0" w:color="auto"/>
        <w:bottom w:val="none" w:sz="0" w:space="0" w:color="auto"/>
        <w:right w:val="none" w:sz="0" w:space="0" w:color="auto"/>
      </w:divBdr>
      <w:divsChild>
        <w:div w:id="1943491443">
          <w:marLeft w:val="0"/>
          <w:marRight w:val="0"/>
          <w:marTop w:val="0"/>
          <w:marBottom w:val="0"/>
          <w:divBdr>
            <w:top w:val="none" w:sz="0" w:space="0" w:color="auto"/>
            <w:left w:val="none" w:sz="0" w:space="0" w:color="auto"/>
            <w:bottom w:val="none" w:sz="0" w:space="0" w:color="auto"/>
            <w:right w:val="none" w:sz="0" w:space="0" w:color="auto"/>
          </w:divBdr>
          <w:divsChild>
            <w:div w:id="6477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q=web+cam&amp;ie=utf-8&amp;oe=utf-8&amp;aq=t&amp;rls=org.mozilla:en-US:official&amp;client=firefox-a" TargetMode="External"/><Relationship Id="rId13" Type="http://schemas.openxmlformats.org/officeDocument/2006/relationships/hyperlink" Target="http://www.google.com/search?q=web+cam&amp;ie=utf-8&amp;oe=utf-8&amp;aq=t&amp;rls=org.mozilla:en-US:official&amp;client=firefox-a" TargetMode="External"/><Relationship Id="rId18" Type="http://schemas.openxmlformats.org/officeDocument/2006/relationships/hyperlink" Target="http://www.unt.edu/oda/apply/index.html" TargetMode="External"/><Relationship Id="rId3" Type="http://schemas.microsoft.com/office/2007/relationships/stylesWithEffects" Target="stylesWithEffects.xml"/><Relationship Id="rId21" Type="http://schemas.openxmlformats.org/officeDocument/2006/relationships/hyperlink" Target="http://frwebgate.access.gpo.gov/cgi-bin/get-cfr.cgi?TITLE=8&amp;PART=214&amp;SECTION=2&amp;TYPE=TEXT" TargetMode="External"/><Relationship Id="rId7" Type="http://schemas.openxmlformats.org/officeDocument/2006/relationships/hyperlink" Target="http://www.google.com/search?q=web+cam&amp;ie=utf-8&amp;oe=utf-8&amp;aq=t&amp;rls=org.mozilla:en-US:official&amp;client=firefox-a" TargetMode="External"/><Relationship Id="rId12" Type="http://schemas.openxmlformats.org/officeDocument/2006/relationships/hyperlink" Target="http://moodle.lt.unt.edu/mod/page/view.php?id=9136" TargetMode="External"/><Relationship Id="rId17" Type="http://schemas.openxmlformats.org/officeDocument/2006/relationships/hyperlink" Target="http://www.unt.edu/csrr/handbook.html" TargetMode="External"/><Relationship Id="rId2" Type="http://schemas.openxmlformats.org/officeDocument/2006/relationships/styles" Target="styles.xml"/><Relationship Id="rId16" Type="http://schemas.openxmlformats.org/officeDocument/2006/relationships/hyperlink" Target="http://www.unt.edu/csrr/development/dishonesty.html" TargetMode="External"/><Relationship Id="rId20" Type="http://schemas.openxmlformats.org/officeDocument/2006/relationships/hyperlink" Target="http://ecfr.gpoaccess.gov/" TargetMode="External"/><Relationship Id="rId1" Type="http://schemas.openxmlformats.org/officeDocument/2006/relationships/numbering" Target="numbering.xml"/><Relationship Id="rId6" Type="http://schemas.openxmlformats.org/officeDocument/2006/relationships/hyperlink" Target="http://moodle.lt.unt.edu/" TargetMode="External"/><Relationship Id="rId11" Type="http://schemas.openxmlformats.org/officeDocument/2006/relationships/hyperlink" Target="http://courseweb.unt.edu/gjones/adobe_connect_pro/adobe_connect_pro.html" TargetMode="External"/><Relationship Id="rId5" Type="http://schemas.openxmlformats.org/officeDocument/2006/relationships/webSettings" Target="webSettings.xml"/><Relationship Id="rId15" Type="http://schemas.openxmlformats.org/officeDocument/2006/relationships/hyperlink" Target="http://essc.unt.edu/registrar/academic-record-incomplete.html" TargetMode="External"/><Relationship Id="rId23" Type="http://schemas.openxmlformats.org/officeDocument/2006/relationships/theme" Target="theme/theme1.xml"/><Relationship Id="rId10" Type="http://schemas.openxmlformats.org/officeDocument/2006/relationships/hyperlink" Target="http://moodle.lt.unt.edu/mod/page/view.php?id=9136" TargetMode="External"/><Relationship Id="rId19" Type="http://schemas.openxmlformats.org/officeDocument/2006/relationships/hyperlink" Target="http://essc.unt.edu/registrar/schedule/add_drops.html" TargetMode="External"/><Relationship Id="rId4" Type="http://schemas.openxmlformats.org/officeDocument/2006/relationships/settings" Target="settings.xml"/><Relationship Id="rId9" Type="http://schemas.openxmlformats.org/officeDocument/2006/relationships/hyperlink" Target="http://moodle.lt.unt.edu/mod/forum/view.php?id=9142" TargetMode="External"/><Relationship Id="rId14" Type="http://schemas.openxmlformats.org/officeDocument/2006/relationships/hyperlink" Target="http://www.google.com/search?q=web+cam&amp;ie=utf-8&amp;oe=utf-8&amp;aq=t&amp;rls=org.mozilla:en-US:official&amp;client=firefox-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2014-09-30T18:19:00Z</dcterms:created>
  <dcterms:modified xsi:type="dcterms:W3CDTF">2014-09-30T18:19:00Z</dcterms:modified>
</cp:coreProperties>
</file>